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85" w:rsidRPr="006039DF" w:rsidRDefault="00F21685" w:rsidP="006039DF">
      <w:pPr>
        <w:widowControl w:val="0"/>
        <w:tabs>
          <w:tab w:val="left" w:pos="3402"/>
        </w:tabs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Аналіз регуляторного впливу</w:t>
      </w:r>
    </w:p>
    <w:p w:rsidR="00F21685" w:rsidRPr="006039DF" w:rsidRDefault="00D50AC5" w:rsidP="00B9729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розпорядження </w:t>
      </w:r>
      <w:r w:rsidR="00EB732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Волинської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обласної військової адміністрації</w:t>
      </w:r>
    </w:p>
    <w:p w:rsidR="00244F96" w:rsidRPr="006039DF" w:rsidRDefault="00D50AC5" w:rsidP="00F2168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«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воді </w:t>
      </w:r>
    </w:p>
    <w:p w:rsidR="00F21685" w:rsidRDefault="00013658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у Волинській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області</w:t>
      </w:r>
      <w:r w:rsidR="00D50AC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D50AC5" w:rsidRPr="00D50AC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50AC5" w:rsidRDefault="006039DF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І.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проблеми</w:t>
      </w:r>
    </w:p>
    <w:p w:rsidR="003611B0" w:rsidRPr="006039DF" w:rsidRDefault="003611B0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03 грудня 2020 року прийнято Закон України «Про внутрішній водний транспорт» № 1054, який, за виключенням окремих норм, набрав чинності 01.01.2022 (далі - Закон).</w:t>
      </w: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 даний час, зазначене питання регулюється місцевими Правилами користування водними об’єктами, які приймаються відповідно до статті 8</w:t>
      </w:r>
      <w:r w:rsidRPr="006039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 w:bidi="uk-UA"/>
        </w:rPr>
        <w:t xml:space="preserve">1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Водного кодексу України.</w:t>
      </w:r>
    </w:p>
    <w:p w:rsidR="00BB10BC" w:rsidRPr="006039DF" w:rsidRDefault="00BB10BC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Частиною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сьомою статті 5 Закону встановлено, що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місцеві</w:t>
      </w:r>
      <w:r w:rsidR="001574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державні адміністрації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</w:t>
      </w:r>
      <w:r w:rsidR="00FD481E"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оді, розміщення плавучих споруд.</w:t>
      </w:r>
    </w:p>
    <w:p w:rsidR="00B61D2A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Таким чином, Законом встановлена необхідність затвердження </w:t>
      </w:r>
      <w:r w:rsidR="00236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Волинською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обласною військовою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адміністрацією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проєкту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акта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, спрямованого на реалізацію Закону.</w:t>
      </w:r>
    </w:p>
    <w:p w:rsidR="00F21685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Тому, на виконання вимог Закону та наказу Міністерства інфраструктури України від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зареєстрованим в Міністерстві юстиції України 12 серпня 2022 року за № 913/38249 підготовлено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розпорядження </w:t>
      </w:r>
      <w:r w:rsidR="00EB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Волинської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</w:t>
      </w:r>
      <w:r w:rsidR="0001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у Волинській області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» (далі – Правила).</w:t>
      </w:r>
    </w:p>
    <w:p w:rsidR="00F21685" w:rsidRPr="006039DF" w:rsidRDefault="00F21685" w:rsidP="00F21685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40310" w:rsidRDefault="00F21685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Основні групи, на які проблема справляє вплив:</w:t>
      </w:r>
    </w:p>
    <w:p w:rsidR="00220F1F" w:rsidRDefault="00220F1F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78"/>
        <w:gridCol w:w="1021"/>
        <w:gridCol w:w="1007"/>
      </w:tblGrid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 (підгрупи)</w:t>
            </w:r>
          </w:p>
        </w:tc>
        <w:tc>
          <w:tcPr>
            <w:tcW w:w="1021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Так</w:t>
            </w:r>
          </w:p>
        </w:tc>
        <w:tc>
          <w:tcPr>
            <w:tcW w:w="1007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Ні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Громадяни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Держава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A40310">
            <w:pPr>
              <w:pStyle w:val="a5"/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20F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у тому числі 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малого підприємництва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6039DF" w:rsidRDefault="00F21685" w:rsidP="003611B0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Зазначена проблема не може бути розв’язана за допомогою:</w:t>
      </w: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ринкових механізмів, оскільки такі питання регулюються виключно нормативно-правовими актами;</w:t>
      </w:r>
    </w:p>
    <w:p w:rsidR="00F21685" w:rsidRPr="006039DF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чинними нормативно-правовими актами, оскільки фактично здійснення заходів державного регулювання відбувається з урахуванням та на виконання вимог Закону, а існуючі нормативно-правові акти не враховують та не </w:t>
      </w: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реалізують положень статей 5 та 34 Закону.</w:t>
      </w:r>
    </w:p>
    <w:p w:rsidR="00F21685" w:rsidRPr="006039DF" w:rsidRDefault="00F21685" w:rsidP="0081107D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Незатвердження </w:t>
      </w:r>
      <w:r w:rsid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равил призведе до неможливості реалізації окремих положень Закону. Також це може негативно вплинути на функціонування малих суден в цілому.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Прийняттям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передбачається виконати такі завдання: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реалізувати положення пункту 3 статті 34 Закону;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розробити Правила, що мають місцевий характер та включають місцеві особливості;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упорядкувати процедуру використання засобів для розваг на воді та процедуру прийняття рішення про відведення таких місць (зон);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сприяти забезпеченню безпеки судноплавства, охорони людського життя та запобігти забрудненню навколишнього природного середовища.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безпеки судноплавства на внутрішніх водних шляхах України, а також реалізація державної політики у сфері управління безпекою судноплавства, плавання для малих, спортивних суден і водних мотоциклів та використання засобів для розваг на воді приведення у відповідність до чинного законодавства є виключною компетенцією Держави.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зв’язку з цим альтернативні (ринкові) механізми досягнення встановлених цілей відсутні.</w:t>
      </w:r>
    </w:p>
    <w:p w:rsidR="00F21685" w:rsidRPr="006039DF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Тому затвердження запропонованого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 найбільш прийнятним способом досягнення встановленої мети.</w:t>
      </w:r>
    </w:p>
    <w:p w:rsid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сприятиме реалізації положень Закону, підвищенню рівня безпеки судноплавства.</w:t>
      </w:r>
    </w:p>
    <w:p w:rsidR="003611B0" w:rsidRP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Default="00F21685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Цілі державного регулювання</w:t>
      </w:r>
    </w:p>
    <w:p w:rsidR="003611B0" w:rsidRPr="006039DF" w:rsidRDefault="003611B0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цілями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положень Закону в частині затвердження Правил;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забезпеченню безпеки судноплавства внутрішніми водними шляхами, охорони людського життя;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використання засобів для розваг на воді.</w:t>
      </w:r>
    </w:p>
    <w:p w:rsidR="002F4644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 прийняття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буде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встановлено вимоги до використання на водних об’єктах малих, спортивних суден, водних мотоциклів і засобів для розваг на воді </w:t>
      </w:r>
      <w:r w:rsidR="0001365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7A44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 xml:space="preserve"> </w:t>
      </w:r>
      <w:r w:rsidR="0001365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Волинській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області.</w:t>
      </w:r>
    </w:p>
    <w:p w:rsidR="00220F1F" w:rsidRDefault="00220F1F" w:rsidP="002F4644">
      <w:pPr>
        <w:widowControl w:val="0"/>
        <w:tabs>
          <w:tab w:val="left" w:pos="108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2F4644" w:rsidRDefault="002F4644" w:rsidP="002F4644">
      <w:pPr>
        <w:widowControl w:val="0"/>
        <w:tabs>
          <w:tab w:val="left" w:pos="1089"/>
        </w:tabs>
        <w:spacing w:after="0" w:line="280" w:lineRule="exact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Визначення та оцінка альтернативних способів досягнення цілей</w:t>
      </w:r>
    </w:p>
    <w:p w:rsidR="002F4644" w:rsidRPr="003611B0" w:rsidRDefault="002F4644" w:rsidP="002F4644">
      <w:pPr>
        <w:widowControl w:val="0"/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ED7D31"/>
          <w:sz w:val="28"/>
          <w:szCs w:val="28"/>
          <w:lang w:eastAsia="uk-UA" w:bidi="uk-UA"/>
        </w:rPr>
      </w:pPr>
    </w:p>
    <w:p w:rsidR="00B97291" w:rsidRDefault="002F4644" w:rsidP="00B97291">
      <w:pPr>
        <w:pStyle w:val="a5"/>
        <w:widowControl w:val="0"/>
        <w:numPr>
          <w:ilvl w:val="0"/>
          <w:numId w:val="8"/>
        </w:numPr>
        <w:spacing w:after="0" w:line="26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220F1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Визначення альтернативних способів</w:t>
      </w:r>
    </w:p>
    <w:p w:rsidR="000A28C0" w:rsidRPr="000A28C0" w:rsidRDefault="000A28C0" w:rsidP="000A28C0">
      <w:pPr>
        <w:widowControl w:val="0"/>
        <w:spacing w:after="0" w:line="260" w:lineRule="exact"/>
        <w:ind w:left="567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B97291" w:rsidTr="00B97291">
        <w:tc>
          <w:tcPr>
            <w:tcW w:w="2405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альтернативи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Опис альтернативи</w:t>
            </w:r>
          </w:p>
        </w:tc>
      </w:tr>
      <w:tr w:rsidR="00B97291" w:rsidTr="00B97291">
        <w:tc>
          <w:tcPr>
            <w:tcW w:w="2405" w:type="dxa"/>
          </w:tcPr>
          <w:p w:rsidR="00B97291" w:rsidRP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Залишення без змін нинішньої ситуації призведе до не виконання вимог чинного законодавства щодо затвердження Правил та не забезпечить чіткого врегулювання питань стосовно використання суден на водних об’єктах області.</w:t>
            </w:r>
          </w:p>
        </w:tc>
      </w:tr>
      <w:tr w:rsidR="00B97291" w:rsidTr="00B97291">
        <w:tc>
          <w:tcPr>
            <w:tcW w:w="2405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2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 xml:space="preserve">Прийняття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7217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Сприятиме: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реалізації положень Закону в частині затвердження  Правил;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підвищенню безпеки судноплавства на внутрішніх водних шляхах, охороні людського життя;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безпечному використанню засобів для розваг на воді.</w:t>
            </w:r>
          </w:p>
        </w:tc>
      </w:tr>
    </w:tbl>
    <w:p w:rsidR="00F21685" w:rsidRDefault="00F21685" w:rsidP="000A28C0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Таким чином, Альтернатива 2 є прийнятним і єдиним способом досягнення зазначених цілей.</w:t>
      </w:r>
    </w:p>
    <w:p w:rsidR="000A28C0" w:rsidRPr="006039DF" w:rsidRDefault="000A28C0" w:rsidP="00B97291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23B02" w:rsidRPr="000A28C0" w:rsidRDefault="00F21685" w:rsidP="000A28C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322" w:lineRule="exact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вибраних аль</w:t>
      </w:r>
      <w:r w:rsidR="00123B02"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тернативних способів досягнення цілей</w:t>
      </w:r>
    </w:p>
    <w:p w:rsidR="00123B02" w:rsidRDefault="00220F1F" w:rsidP="00220F1F">
      <w:pPr>
        <w:widowControl w:val="0"/>
        <w:tabs>
          <w:tab w:val="left" w:pos="567"/>
        </w:tabs>
        <w:spacing w:after="0" w:line="322" w:lineRule="exact"/>
        <w:ind w:right="16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  </w:t>
      </w:r>
      <w:r w:rsidR="00F21685" w:rsidRPr="00123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держави</w:t>
      </w:r>
    </w:p>
    <w:p w:rsidR="006174CB" w:rsidRDefault="006174CB" w:rsidP="00123B02">
      <w:pPr>
        <w:widowControl w:val="0"/>
        <w:tabs>
          <w:tab w:val="left" w:pos="1059"/>
        </w:tabs>
        <w:spacing w:after="0" w:line="322" w:lineRule="exact"/>
        <w:ind w:right="16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657"/>
      </w:tblGrid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 w:hanging="120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Вид альтернативи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Вигоди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290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Витрати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1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Збереження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 xml:space="preserve">ситуації, </w:t>
            </w:r>
          </w:p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яка 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існує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на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цей</w:t>
            </w: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111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Відсутні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3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Залишаються не реалізованими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положення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Закону,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у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частині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затвердження </w:t>
            </w:r>
            <w:r w:rsidRPr="000A28C0">
              <w:rPr>
                <w:rFonts w:ascii="Times New Roman" w:hAnsi="Times New Roman" w:cs="Times New Roman"/>
                <w:sz w:val="28"/>
              </w:rPr>
              <w:t>Правил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  <w:tab w:val="left" w:pos="244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2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 xml:space="preserve">Прийняття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 w:rsidRPr="000A28C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акта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A28C0">
              <w:rPr>
                <w:sz w:val="28"/>
                <w:szCs w:val="28"/>
              </w:rPr>
              <w:t>Реалізовані норми пункту 7 статті</w:t>
            </w:r>
            <w:r w:rsidRPr="000A28C0">
              <w:rPr>
                <w:spacing w:val="20"/>
                <w:sz w:val="28"/>
                <w:szCs w:val="28"/>
              </w:rPr>
              <w:t xml:space="preserve"> </w:t>
            </w:r>
            <w:r w:rsidRPr="000A28C0">
              <w:rPr>
                <w:sz w:val="28"/>
                <w:szCs w:val="28"/>
              </w:rPr>
              <w:t>5 та пункту 3 статті 34 Закону</w:t>
            </w:r>
            <w:r w:rsidRPr="000A28C0">
              <w:rPr>
                <w:sz w:val="28"/>
              </w:rPr>
              <w:t>. Нормативно буде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визначено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правові та</w:t>
            </w:r>
            <w:r w:rsidRPr="000A28C0">
              <w:rPr>
                <w:spacing w:val="7"/>
                <w:sz w:val="28"/>
              </w:rPr>
              <w:t xml:space="preserve"> </w:t>
            </w:r>
            <w:r w:rsidRPr="000A28C0">
              <w:rPr>
                <w:sz w:val="28"/>
              </w:rPr>
              <w:t>організаційні</w:t>
            </w:r>
            <w:r w:rsidRPr="000A28C0">
              <w:rPr>
                <w:spacing w:val="74"/>
                <w:sz w:val="28"/>
              </w:rPr>
              <w:t xml:space="preserve"> </w:t>
            </w:r>
            <w:r w:rsidRPr="000A28C0">
              <w:rPr>
                <w:sz w:val="28"/>
              </w:rPr>
              <w:t>засади Правил,</w:t>
            </w:r>
            <w:r w:rsidRPr="000A28C0">
              <w:t xml:space="preserve"> </w:t>
            </w:r>
            <w:r w:rsidRPr="000A28C0">
              <w:rPr>
                <w:sz w:val="28"/>
              </w:rPr>
              <w:t>що мають місцевий характер та включають місцеві особливості. Сприяння</w:t>
            </w:r>
            <w:r w:rsidRPr="000A28C0">
              <w:rPr>
                <w:spacing w:val="36"/>
                <w:sz w:val="28"/>
              </w:rPr>
              <w:t xml:space="preserve"> </w:t>
            </w:r>
            <w:r w:rsidRPr="000A28C0">
              <w:rPr>
                <w:sz w:val="28"/>
                <w:szCs w:val="28"/>
              </w:rPr>
              <w:t>за</w:t>
            </w:r>
            <w:r w:rsidRPr="000A28C0">
              <w:rPr>
                <w:sz w:val="28"/>
              </w:rPr>
              <w:t xml:space="preserve">безпеченню безпеки </w:t>
            </w:r>
            <w:r w:rsidRPr="000A28C0">
              <w:rPr>
                <w:spacing w:val="-1"/>
                <w:sz w:val="28"/>
              </w:rPr>
              <w:t>судноплавства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внутрішніми водними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шляхами, </w:t>
            </w:r>
            <w:r w:rsidRPr="000A28C0">
              <w:rPr>
                <w:spacing w:val="-1"/>
                <w:sz w:val="28"/>
              </w:rPr>
              <w:t>охорони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людського життя </w:t>
            </w:r>
            <w:r w:rsidRPr="000A28C0">
              <w:rPr>
                <w:spacing w:val="-2"/>
                <w:sz w:val="28"/>
              </w:rPr>
              <w:t>та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природного</w:t>
            </w:r>
            <w:r w:rsidRPr="000A28C0">
              <w:rPr>
                <w:spacing w:val="1"/>
                <w:sz w:val="28"/>
              </w:rPr>
              <w:t xml:space="preserve"> </w:t>
            </w:r>
            <w:r w:rsidRPr="000A28C0">
              <w:rPr>
                <w:sz w:val="28"/>
              </w:rPr>
              <w:t>середовища.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TableParagraph"/>
              <w:ind w:left="1" w:right="13"/>
              <w:jc w:val="both"/>
              <w:rPr>
                <w:sz w:val="28"/>
              </w:rPr>
            </w:pPr>
            <w:r w:rsidRPr="000A28C0">
              <w:rPr>
                <w:sz w:val="28"/>
              </w:rPr>
              <w:t>Витрат</w:t>
            </w:r>
            <w:r w:rsidR="00CD2260">
              <w:rPr>
                <w:sz w:val="28"/>
              </w:rPr>
              <w:t>и</w:t>
            </w:r>
            <w:r w:rsidRPr="000A28C0">
              <w:rPr>
                <w:sz w:val="28"/>
              </w:rPr>
              <w:t xml:space="preserve"> з державного</w:t>
            </w:r>
            <w:r w:rsidR="00CD2260">
              <w:rPr>
                <w:sz w:val="28"/>
              </w:rPr>
              <w:t xml:space="preserve"> та місцевого бюджетів не передбачаю</w:t>
            </w:r>
            <w:r w:rsidRPr="000A28C0">
              <w:rPr>
                <w:sz w:val="28"/>
              </w:rPr>
              <w:t>ться.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1" w:right="1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260" w:rsidRDefault="00CD2260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</w:p>
    <w:p w:rsidR="00F21685" w:rsidRPr="006039DF" w:rsidRDefault="00F21685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суб’єктів господарювання</w:t>
      </w:r>
    </w:p>
    <w:p w:rsidR="00F21685" w:rsidRPr="006039DF" w:rsidRDefault="00B3608F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 дію регулювання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підпадають всі громадяни та суб’єкти господарювання, у яких є зареєстровані малі судна.</w:t>
      </w:r>
    </w:p>
    <w:p w:rsidR="00CD2260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Кількість зареєстрованих суден </w:t>
      </w:r>
      <w:r w:rsidR="00013658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Волинській</w:t>
      </w:r>
      <w:r w:rsidR="004B2FE6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області </w:t>
      </w:r>
      <w:r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становить </w:t>
      </w:r>
      <w:r w:rsidR="007577DF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більше 3</w:t>
      </w:r>
      <w:r w:rsidR="006D16E1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тис.</w:t>
      </w:r>
      <w:r w:rsidR="004B2FE6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одиниць. </w:t>
      </w:r>
      <w:r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Розрахувати кількість суб’єктів господарю</w:t>
      </w:r>
      <w:r w:rsidR="004B2FE6"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вання, які будуть користуватися Правилами </w:t>
      </w:r>
      <w:r w:rsidRPr="006D16E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наразі неможливо.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D326D2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суб’єктів господарювання, що підпадають під дію регулювання, в розрізі великих, середніх, малих та мікропідприємств визначити неможливо, у зв’язку із відсутністю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таких вихідних даних, а </w:t>
      </w:r>
      <w:proofErr w:type="spellStart"/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однаково впливає на всіх громадян та суб’єктів господарювання незалежно від форми власності.</w:t>
      </w:r>
    </w:p>
    <w:p w:rsidR="003C5B1A" w:rsidRDefault="003C5B1A" w:rsidP="00786BAC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8B0816" w:rsidRDefault="008B0816" w:rsidP="00786BAC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4" w:type="dxa"/>
        <w:tblLook w:val="04A0" w:firstRow="1" w:lastRow="0" w:firstColumn="1" w:lastColumn="0" w:noHBand="0" w:noVBand="1"/>
      </w:tblPr>
      <w:tblGrid>
        <w:gridCol w:w="2405"/>
        <w:gridCol w:w="2693"/>
        <w:gridCol w:w="4506"/>
      </w:tblGrid>
      <w:tr w:rsidR="00D326D2" w:rsidTr="00A47556">
        <w:trPr>
          <w:trHeight w:val="314"/>
        </w:trPr>
        <w:tc>
          <w:tcPr>
            <w:tcW w:w="2405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Вид альтернатив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Вигоди</w:t>
            </w:r>
          </w:p>
        </w:tc>
        <w:tc>
          <w:tcPr>
            <w:tcW w:w="4506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</w:t>
            </w:r>
          </w:p>
        </w:tc>
      </w:tr>
      <w:tr w:rsidR="00D326D2" w:rsidTr="00A47556">
        <w:trPr>
          <w:trHeight w:val="1607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ідсутні.</w:t>
            </w:r>
          </w:p>
        </w:tc>
        <w:tc>
          <w:tcPr>
            <w:tcW w:w="4506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відсутні.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Законодавчо чітко не врегульовано питання використання засобів для розваг на воді</w:t>
            </w:r>
            <w:r w:rsidR="0064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326D2" w:rsidTr="00A47556">
        <w:trPr>
          <w:trHeight w:val="4824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2.</w:t>
            </w:r>
          </w:p>
          <w:p w:rsidR="00094445" w:rsidRDefault="00A914DE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проє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693" w:type="dxa"/>
          </w:tcPr>
          <w:p w:rsidR="00D326D2" w:rsidRDefault="0064746C" w:rsidP="004B2FE6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Нормативн</w:t>
            </w:r>
            <w:r w:rsidR="004B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 буде визначено Правила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врегульовано процедуру відведення місць (зон) для розваг на воді.</w:t>
            </w:r>
          </w:p>
        </w:tc>
        <w:tc>
          <w:tcPr>
            <w:tcW w:w="4506" w:type="dxa"/>
          </w:tcPr>
          <w:p w:rsidR="007000EC" w:rsidRPr="00A84FCD" w:rsidRDefault="00A47556" w:rsidP="007000E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  <w:r w:rsidR="0010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*</w:t>
            </w:r>
          </w:p>
        </w:tc>
      </w:tr>
    </w:tbl>
    <w:p w:rsidR="00F520E0" w:rsidRPr="008E3C27" w:rsidRDefault="00100A1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Витрати громадян та суб'єктів господарювання, пов'язані з запровадженням норми </w:t>
      </w:r>
      <w:proofErr w:type="spellStart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проєкту</w:t>
      </w:r>
      <w:proofErr w:type="spellEnd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розраховані, виходячи із розміру мінімальної заробітної плати, встановленої статтею 8 Закону України «Про Державний бюджет України на 2023 рік» з 01.01.2023 становить у</w:t>
      </w:r>
    </w:p>
    <w:p w:rsidR="00F520E0" w:rsidRPr="008E3C27" w:rsidRDefault="00F520E0" w:rsidP="00F520E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місячному розмірі - 6700,00 грн, у погодинному розмірі - 40,46 грн.</w:t>
      </w:r>
    </w:p>
    <w:p w:rsidR="00F520E0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Таким чином, для розрахунку взято:</w:t>
      </w:r>
    </w:p>
    <w:p w:rsidR="00786BAC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1 година робочого часу працівника/громадянина для ознайомлення з новими регуляторними</w:t>
      </w:r>
      <w:r w:rsidR="00100A1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нормами: 1 (</w:t>
      </w:r>
      <w:proofErr w:type="spellStart"/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прац</w:t>
      </w:r>
      <w:proofErr w:type="spellEnd"/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.) х 1 (год.) х 40,46 (гри) = 40,46 грн.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cr/>
      </w:r>
    </w:p>
    <w:tbl>
      <w:tblPr>
        <w:tblStyle w:val="a6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624"/>
        <w:gridCol w:w="6998"/>
      </w:tblGrid>
      <w:tr w:rsidR="0070472D" w:rsidTr="00BF1F47">
        <w:trPr>
          <w:trHeight w:val="647"/>
        </w:trPr>
        <w:tc>
          <w:tcPr>
            <w:tcW w:w="2624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Сумарні витрати за альтернативами</w:t>
            </w:r>
          </w:p>
        </w:tc>
        <w:tc>
          <w:tcPr>
            <w:tcW w:w="6998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 витрат, гривень</w:t>
            </w:r>
          </w:p>
        </w:tc>
      </w:tr>
      <w:tr w:rsidR="0070472D" w:rsidTr="00BF1F47">
        <w:trPr>
          <w:trHeight w:val="1279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6998" w:type="dxa"/>
          </w:tcPr>
          <w:p w:rsidR="0070472D" w:rsidRP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Витрати 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відсутні</w:t>
            </w:r>
            <w:r w:rsidR="003C5B1A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</w:tr>
      <w:tr w:rsidR="0070472D" w:rsidTr="00BF1F47">
        <w:trPr>
          <w:trHeight w:val="2573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70472D" w:rsidRDefault="00A914DE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6998" w:type="dxa"/>
          </w:tcPr>
          <w:p w:rsidR="00106615" w:rsidRPr="009D4941" w:rsidRDefault="00EA6018" w:rsidP="009D4941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 w:rsidRPr="00EA6018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</w:p>
        </w:tc>
      </w:tr>
    </w:tbl>
    <w:p w:rsidR="002F3D50" w:rsidRDefault="002F3D50" w:rsidP="00786BAC">
      <w:pPr>
        <w:widowControl w:val="0"/>
        <w:tabs>
          <w:tab w:val="left" w:pos="1134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86BAC" w:rsidRPr="006039DF" w:rsidRDefault="00786BAC" w:rsidP="00C21C6C">
      <w:pPr>
        <w:widowControl w:val="0"/>
        <w:tabs>
          <w:tab w:val="left" w:pos="1134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IV.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Вибір найбільш оптимального альтернативного способу</w:t>
      </w:r>
      <w:r w:rsidR="00C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="00C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досягнення цілей</w:t>
      </w:r>
    </w:p>
    <w:p w:rsidR="00786BAC" w:rsidRDefault="00786BAC" w:rsidP="00786BAC">
      <w:pPr>
        <w:tabs>
          <w:tab w:val="left" w:pos="709"/>
        </w:tabs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17" w:type="dxa"/>
        <w:tblLook w:val="04A0" w:firstRow="1" w:lastRow="0" w:firstColumn="1" w:lastColumn="0" w:noHBand="0" w:noVBand="1"/>
      </w:tblPr>
      <w:tblGrid>
        <w:gridCol w:w="3498"/>
        <w:gridCol w:w="2913"/>
        <w:gridCol w:w="3206"/>
      </w:tblGrid>
      <w:tr w:rsidR="00786BAC" w:rsidTr="00BF1F47">
        <w:trPr>
          <w:trHeight w:val="1044"/>
        </w:trPr>
        <w:tc>
          <w:tcPr>
            <w:tcW w:w="3498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 (досягнення цілей під  час вирішення проблеми)</w:t>
            </w:r>
          </w:p>
        </w:tc>
        <w:tc>
          <w:tcPr>
            <w:tcW w:w="2913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 результативності (за чотирибальною системою оцінки)</w:t>
            </w:r>
          </w:p>
        </w:tc>
        <w:tc>
          <w:tcPr>
            <w:tcW w:w="3206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Коментарі що</w:t>
            </w:r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до присвоєння відповідного </w:t>
            </w:r>
            <w:proofErr w:type="spellStart"/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бала</w:t>
            </w:r>
            <w:proofErr w:type="spellEnd"/>
          </w:p>
        </w:tc>
      </w:tr>
      <w:tr w:rsidR="00786BAC" w:rsidTr="00BF1F47">
        <w:trPr>
          <w:trHeight w:val="1746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8B2791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913" w:type="dxa"/>
          </w:tcPr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Цілі 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не можуть бути досягнуті (проблема залишиться не вирішеною)</w:t>
            </w:r>
          </w:p>
        </w:tc>
      </w:tr>
      <w:tr w:rsidR="00786BAC" w:rsidTr="00BF1F47">
        <w:trPr>
          <w:trHeight w:val="2089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8B2791" w:rsidRDefault="008B2791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913" w:type="dxa"/>
          </w:tcPr>
          <w:p w:rsidR="008B2791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повною мірою досягнення поставлених цілей (проблема існувати не буде)</w:t>
            </w:r>
          </w:p>
        </w:tc>
      </w:tr>
    </w:tbl>
    <w:p w:rsidR="00786BAC" w:rsidRDefault="00786BAC" w:rsidP="00786BAC">
      <w:pPr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2264"/>
        <w:gridCol w:w="2126"/>
        <w:gridCol w:w="2409"/>
        <w:gridCol w:w="2840"/>
      </w:tblGrid>
      <w:tr w:rsidR="00884D09" w:rsidTr="00100A10">
        <w:tc>
          <w:tcPr>
            <w:tcW w:w="2264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</w:t>
            </w:r>
          </w:p>
        </w:tc>
        <w:tc>
          <w:tcPr>
            <w:tcW w:w="2126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Вигоди (підсумок)</w:t>
            </w:r>
          </w:p>
        </w:tc>
        <w:tc>
          <w:tcPr>
            <w:tcW w:w="2409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Витрати (підсумок)</w:t>
            </w:r>
          </w:p>
        </w:tc>
        <w:tc>
          <w:tcPr>
            <w:tcW w:w="2840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Обгрунтування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відповідного місця альтернативи у рейтингу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126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Відсутні</w:t>
            </w:r>
          </w:p>
        </w:tc>
        <w:tc>
          <w:tcPr>
            <w:tcW w:w="2409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Станом на сьогодні витрати відсутні</w:t>
            </w:r>
          </w:p>
        </w:tc>
        <w:tc>
          <w:tcPr>
            <w:tcW w:w="2840" w:type="dxa"/>
          </w:tcPr>
          <w:p w:rsidR="008B2791" w:rsidRP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У разі залишення нинішньої ситуації без змін проблему, наведену у розділі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, не буде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розв</w:t>
            </w:r>
            <w:proofErr w:type="spellEnd"/>
            <w:r w:rsidRPr="004D2552">
              <w:rPr>
                <w:rFonts w:ascii="Times New Roman" w:eastAsia="Microsoft Sans Serif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язано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, що не забезпечить досягнення поставлених цілей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4D2552" w:rsidRDefault="004D2552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126" w:type="dxa"/>
          </w:tcPr>
          <w:p w:rsidR="008B2791" w:rsidRPr="004D7CE1" w:rsidRDefault="00A914DE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</w:t>
            </w:r>
            <w:r w:rsidR="00D916B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чить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досягнення встановлених у розділі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II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цілей. Нормативно буде визначено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Правила,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врегульовано процедуру відведення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місць (зон) для розваг на воді.</w:t>
            </w:r>
          </w:p>
        </w:tc>
        <w:tc>
          <w:tcPr>
            <w:tcW w:w="2409" w:type="dxa"/>
          </w:tcPr>
          <w:p w:rsidR="00884D09" w:rsidRDefault="009D4941" w:rsidP="00884D09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Реалізація</w:t>
            </w:r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положень регуляторного </w:t>
            </w:r>
            <w:proofErr w:type="spellStart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матеріальних витрат</w:t>
            </w:r>
            <w:r w:rsidR="00884D09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не передбачає.</w:t>
            </w:r>
          </w:p>
          <w:p w:rsidR="00F8565D" w:rsidRPr="00F8565D" w:rsidRDefault="00F8565D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840" w:type="dxa"/>
          </w:tcPr>
          <w:p w:rsidR="008B2791" w:rsidRDefault="00246E96" w:rsidP="00246E96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удосконалення державної політики у сфері внутрішнього водного транспорту, реалізацію положень Закону в частині плавання для малих, спортивних суден і водних мотоциклів та використання засобів для розваг на воді.</w:t>
            </w:r>
          </w:p>
        </w:tc>
      </w:tr>
    </w:tbl>
    <w:p w:rsidR="008855C1" w:rsidRPr="00C21C6C" w:rsidRDefault="008855C1" w:rsidP="00C21C6C">
      <w:pPr>
        <w:widowControl w:val="0"/>
        <w:tabs>
          <w:tab w:val="left" w:pos="1623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2F3D50" w:rsidRDefault="002F3D50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3C5B1A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V. 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Механізми та заходи, які забезпечать розв’язання визначеної</w:t>
      </w:r>
    </w:p>
    <w:p w:rsidR="00F21685" w:rsidRPr="006039DF" w:rsidRDefault="00F21685" w:rsidP="006A5758">
      <w:pPr>
        <w:widowControl w:val="0"/>
        <w:spacing w:after="30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проблеми</w:t>
      </w:r>
    </w:p>
    <w:p w:rsidR="00F21685" w:rsidRPr="006039DF" w:rsidRDefault="00F21685" w:rsidP="003C5B1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Механізмом, який забезпечить розв’язання визначеної проблеми з боку держави є прийняття запропонованого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3C5B1A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Заходами, які забезпечать розв’язання визначеної проблеми з боку держави є забезпечення інформування громадян та суб’єктів господарювання про вимоги регуляторного акту шляхом оприлюднення його на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офіційному веб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сайті </w:t>
      </w:r>
      <w:r w:rsidR="00EB7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Волинської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F21685" w:rsidRPr="006039DF" w:rsidRDefault="001B0A44" w:rsidP="009D69F7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EB7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Волинської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ої адміністрації </w:t>
      </w:r>
      <w:r w:rsidR="00E0605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</w:t>
      </w:r>
      <w:r w:rsidR="003C5B1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воді </w:t>
      </w:r>
      <w:r w:rsidR="0001365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у Волинській</w:t>
      </w:r>
      <w:r w:rsidR="003C5B1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області</w:t>
      </w:r>
      <w:r w:rsidR="00E06050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»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забезпечить удосконалення державної політики у сфері внутрішнього водного транспорту, реалізацію положень Закону в частині приведення процедури плавання для малих, спортивних суден і водних мотоциклів та використання засобів для розваг на воді, підвищення рівня безпеки судноплавства внутрішніми водним шляхами.</w:t>
      </w: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Негативний вплив зовнішніх факторів на дію цього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відсутній.</w:t>
      </w:r>
    </w:p>
    <w:p w:rsidR="00F21685" w:rsidRPr="006039DF" w:rsidRDefault="00F21685" w:rsidP="00AC3828">
      <w:pPr>
        <w:widowControl w:val="0"/>
        <w:spacing w:after="293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положень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потребує матері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альних та фінансових витрат із д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ержавного 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місцевого бюджетів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6A5758">
      <w:pPr>
        <w:widowControl w:val="0"/>
        <w:tabs>
          <w:tab w:val="left" w:pos="1134"/>
        </w:tabs>
        <w:spacing w:after="0" w:line="326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VI.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Оцінка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залежно від ресурсів, якими розпоряджаються органи виконавчої влади чи органи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місцевого самоврядування, фізичні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та юридичні особи, які повинні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проваджувати або виконувати ці вимоги</w:t>
      </w:r>
    </w:p>
    <w:p w:rsidR="006A5758" w:rsidRDefault="006A5758" w:rsidP="00F21685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впровадження та виконання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даного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органи виконавчої влади не будуть нести додаткових витрат.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змінюються  та наводяться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 розділі III відповідно до додатку 2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Додаток 3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не розроблявся у зв’язку із відсутністю витрат на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органів виконавчої влади чи органів місцевого самоврядування.</w:t>
      </w:r>
    </w:p>
    <w:p w:rsidR="006A5758" w:rsidRDefault="00F21685" w:rsidP="00AC3828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Тест малого підприємництва (М-Тест) відповідно до Додатку 4 до Методики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 проводився у зв’язку із неможливістю визначення кількості суб’єктів господарювання, що підпадають під дію регулювання, в розрізі великих, середніх, малих та мікропідприємств, з огляду на відсутність таких вихідних даних, а проблема однаково впливає на всіх громадян та суб’єктів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господарювання незалежно від форми власності та рівня доходу.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6A5758" w:rsidP="006A5758">
      <w:pPr>
        <w:widowControl w:val="0"/>
        <w:tabs>
          <w:tab w:val="left" w:pos="1376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VII. 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Обґрунтування запропонованого строку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1B0A44" w:rsidP="006A5758">
      <w:pPr>
        <w:widowControl w:val="0"/>
        <w:spacing w:after="333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Оскільки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розроблено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виконання вимог Закону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його дія обмежується дією Закону та не обмежуєт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ься у часі іншими чинниками, що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надасть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можливість розв’язати проблему та досягти цілей державного регулювання.</w:t>
      </w:r>
    </w:p>
    <w:p w:rsidR="006A5758" w:rsidRPr="006039DF" w:rsidRDefault="006A5758" w:rsidP="006A5758">
      <w:pPr>
        <w:widowControl w:val="0"/>
        <w:tabs>
          <w:tab w:val="left" w:pos="1418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VIII.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показників 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Прогнозні значення показників результативності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мають бути виражені у кількісній формі. Однак, у разі неможливості обчислення розмірів тієї чи іншої вигоди, результативність може бути виражена в текстовій формі, грошових одиницях чи процентному співвідношенні.</w:t>
      </w:r>
    </w:p>
    <w:p w:rsidR="006A5758" w:rsidRPr="006039DF" w:rsidRDefault="00C305CF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Після набуття чинності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ктом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акта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 результативність визначатиметься такими показниками:</w:t>
      </w:r>
    </w:p>
    <w:p w:rsidR="006A5758" w:rsidRPr="006039DF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надходження не передбачаються.</w:t>
      </w:r>
    </w:p>
    <w:p w:rsidR="006A5758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суб’єктів господарювання або фізичних осіб, на яких поширюватиметься дія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00A10" w:rsidRPr="00100A10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Розмір коштів в час, що витрачатимуться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господарювання та/або фізичними особами,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язаними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виконанням вимог Правил.</w:t>
      </w:r>
    </w:p>
    <w:p w:rsidR="006A5758" w:rsidRPr="006039DF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Рівень поінформованості суб’єктів господарювання та/або фізичних осіб з основних положень акту - середній. З цією метою регуляторний акт оприлюднено на офіційному веб-сайті </w:t>
      </w:r>
      <w:r w:rsidR="00EB732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Волинської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C30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6A5758" w:rsidRPr="006039DF" w:rsidRDefault="00100A10" w:rsidP="00AC3828">
      <w:pPr>
        <w:widowControl w:val="0"/>
        <w:tabs>
          <w:tab w:val="left" w:pos="9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="000D3772" w:rsidRPr="000D377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встановлених фактів порушення вимог безпеки плавання.</w:t>
      </w:r>
    </w:p>
    <w:p w:rsidR="00337DBC" w:rsidRDefault="00100A10" w:rsidP="00337DBC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337DBC" w:rsidRP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відведених місць (зон) для розваг на воді у відповідності з Правилами.</w:t>
      </w:r>
    </w:p>
    <w:p w:rsidR="006A5758" w:rsidRPr="006039DF" w:rsidRDefault="00337DBC" w:rsidP="00337DBC">
      <w:pPr>
        <w:widowControl w:val="0"/>
        <w:tabs>
          <w:tab w:val="left" w:pos="96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7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звернень/скарг від громадян та суб’єктів господарювання, пов’язаних із дією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6A5758" w:rsidP="006A5758">
      <w:pPr>
        <w:widowControl w:val="0"/>
        <w:tabs>
          <w:tab w:val="left" w:pos="91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AC3828" w:rsidP="00AC3828">
      <w:pPr>
        <w:widowControl w:val="0"/>
        <w:tabs>
          <w:tab w:val="left" w:pos="1320"/>
        </w:tabs>
        <w:spacing w:after="304" w:line="322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IX. </w:t>
      </w:r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CC2D72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Стосовно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здійснюватися базове, повторне та періодичне статистичне відстеження його результативності.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буде здійснювати 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департамент економічного розвитку, промисловості та інфраструктури </w:t>
      </w:r>
      <w:r w:rsidR="00EB732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Волинської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обласної військової адміністрації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 показниками результативності, зазначеними у розділі VIII цього аналізу регуляторного впливу.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Базове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один рік після набрання чинності актом. Повторне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 xml:space="preserve">два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роки з дня набрання чинності цим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актом.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Періодичні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здійснюватися раз на кожні три роки, починаючи з дня закінчення заходів з повторного відстеження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CC2D72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Установлені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кількісні значення показників результативності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порівнюватимуться із зазначенням аналогічних показників, що встановлені під час повторного відстеження.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B466B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Директор 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департаменту </w:t>
      </w:r>
      <w:r w:rsidR="00810EB4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інфраструктури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інфраструктури </w:t>
      </w:r>
      <w:r w:rsidR="00EB7323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Волинської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обласної військової адміністрації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="005F334C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Степан БІЛАН</w:t>
      </w: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5F334C" w:rsidRDefault="005F334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5F334C" w:rsidRDefault="005F334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337DB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800396">
        <w:rPr>
          <w:sz w:val="24"/>
          <w:szCs w:val="24"/>
        </w:rPr>
        <w:t>Додаток 2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00396">
        <w:rPr>
          <w:sz w:val="24"/>
          <w:szCs w:val="24"/>
        </w:rPr>
        <w:t xml:space="preserve">До Методики проведення аналізу 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00396">
        <w:rPr>
          <w:sz w:val="24"/>
          <w:szCs w:val="24"/>
        </w:rPr>
        <w:t xml:space="preserve">впливу регуляторного </w:t>
      </w:r>
      <w:proofErr w:type="spellStart"/>
      <w:r w:rsidRPr="00800396">
        <w:rPr>
          <w:sz w:val="24"/>
          <w:szCs w:val="24"/>
        </w:rPr>
        <w:t>акта</w:t>
      </w:r>
      <w:proofErr w:type="spellEnd"/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C2D72" w:rsidRDefault="00071BB9" w:rsidP="00B466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Витрати на одного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акта</w:t>
      </w:r>
      <w:proofErr w:type="spellEnd"/>
    </w:p>
    <w:p w:rsidR="00B466B0" w:rsidRPr="00071BB9" w:rsidRDefault="00B466B0" w:rsidP="00071B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1560"/>
        <w:gridCol w:w="1842"/>
      </w:tblGrid>
      <w:tr w:rsidR="00071BB9" w:rsidTr="008D2379">
        <w:tc>
          <w:tcPr>
            <w:tcW w:w="169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Порядковий номер</w:t>
            </w:r>
          </w:p>
        </w:tc>
        <w:tc>
          <w:tcPr>
            <w:tcW w:w="453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перший рік</w:t>
            </w:r>
          </w:p>
        </w:tc>
        <w:tc>
          <w:tcPr>
            <w:tcW w:w="1842" w:type="dxa"/>
          </w:tcPr>
          <w:p w:rsidR="00071BB9" w:rsidRP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536" w:type="dxa"/>
          </w:tcPr>
          <w:p w:rsidR="00071BB9" w:rsidRDefault="005D60CB" w:rsidP="005D6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</w:tcPr>
          <w:p w:rsidR="00071BB9" w:rsidRDefault="005D60CB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Податки та збори (зміна розміру податків/зборів, </w:t>
            </w:r>
            <w:r w:rsidR="00F3182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виникнення необхідності у сплаті податків/зборів),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державним органом,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отримання інших послуг,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додаткового персоналу,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Інше (витрати суб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 господарювання, пов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язані з ознайомленням з новими регуляторними нормами та поданням пакету документів для відкриття баз для стоянки малих суден,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складатимуться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витрат часу відповідних працівників,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витраченого на подання відповідних документів), гривень</w:t>
            </w:r>
          </w:p>
        </w:tc>
        <w:tc>
          <w:tcPr>
            <w:tcW w:w="1560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337DBC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  <w:tc>
          <w:tcPr>
            <w:tcW w:w="1842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337DBC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4536" w:type="dxa"/>
          </w:tcPr>
          <w:p w:rsidR="00071BB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(сума рядків: 1 + 2 + 3 + 4 + 5 + 6 + 7 + 8), гривень</w:t>
            </w:r>
          </w:p>
        </w:tc>
        <w:tc>
          <w:tcPr>
            <w:tcW w:w="1560" w:type="dxa"/>
          </w:tcPr>
          <w:p w:rsidR="00071BB9" w:rsidRDefault="00337DBC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  <w:tc>
          <w:tcPr>
            <w:tcW w:w="1842" w:type="dxa"/>
          </w:tcPr>
          <w:p w:rsidR="00071BB9" w:rsidRDefault="00337DBC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</w:t>
            </w:r>
            <w:r w:rsidR="00E57FD0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великого та середнього підприємництва, на яких буде поширено регулювання, одиниць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4536" w:type="dxa"/>
          </w:tcPr>
          <w:p w:rsidR="00071BB9" w:rsidRPr="00E57FD0" w:rsidRDefault="00E57FD0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Сумарні 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великого та середнього підприємництва, на виконання регулювання ( вартість регулювання) (рядок 9 х рядок 10), гривень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CC2D72" w:rsidRPr="00CC2D72" w:rsidRDefault="00CC2D72" w:rsidP="00CC2D72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EB1421" w:rsidRDefault="005C37B1" w:rsidP="005C3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Розрахунок відповідних витрат на одного 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823"/>
        <w:gridCol w:w="1811"/>
        <w:gridCol w:w="1874"/>
        <w:gridCol w:w="2126"/>
      </w:tblGrid>
      <w:tr w:rsidR="005C37B1" w:rsidTr="008D2379">
        <w:tc>
          <w:tcPr>
            <w:tcW w:w="3823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1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У перший рік</w:t>
            </w:r>
          </w:p>
        </w:tc>
        <w:tc>
          <w:tcPr>
            <w:tcW w:w="1874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Періодичні (за рік)</w:t>
            </w:r>
          </w:p>
        </w:tc>
        <w:tc>
          <w:tcPr>
            <w:tcW w:w="2126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 w:rsidRPr="00130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5C37B1" w:rsidTr="008D2379">
        <w:tc>
          <w:tcPr>
            <w:tcW w:w="3823" w:type="dxa"/>
          </w:tcPr>
          <w:p w:rsidR="005C37B1" w:rsidRPr="00FD759F" w:rsidRDefault="00FD759F" w:rsidP="005C37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</w:t>
            </w:r>
          </w:p>
        </w:tc>
        <w:tc>
          <w:tcPr>
            <w:tcW w:w="1811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74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EB1421" w:rsidRDefault="00EB1421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382"/>
        <w:gridCol w:w="3217"/>
        <w:gridCol w:w="3035"/>
      </w:tblGrid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035" w:type="dxa"/>
          </w:tcPr>
          <w:p w:rsidR="00EB1421" w:rsidRPr="008C3E65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3035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B466B0" w:rsidRDefault="00B466B0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735"/>
        <w:gridCol w:w="2727"/>
        <w:gridCol w:w="1960"/>
        <w:gridCol w:w="1000"/>
        <w:gridCol w:w="1212"/>
      </w:tblGrid>
      <w:tr w:rsidR="008F1173" w:rsidTr="008D2379">
        <w:tc>
          <w:tcPr>
            <w:tcW w:w="2763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за рік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134" w:type="dxa"/>
          </w:tcPr>
          <w:p w:rsidR="008F1173" w:rsidRP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F1173" w:rsidTr="008D2379">
        <w:tc>
          <w:tcPr>
            <w:tcW w:w="2763" w:type="dxa"/>
          </w:tcPr>
          <w:p w:rsidR="008F1173" w:rsidRPr="008F1173" w:rsidRDefault="008F1173" w:rsidP="008F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8F11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державним органом (витрати часу персоналу)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13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8C3E65" w:rsidRPr="008E3C27" w:rsidRDefault="008F1173" w:rsidP="00337D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BA61CA" w:rsidRPr="00BA61CA" w:rsidRDefault="00BA61CA" w:rsidP="00BA61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028"/>
        <w:gridCol w:w="2177"/>
        <w:gridCol w:w="2240"/>
        <w:gridCol w:w="924"/>
        <w:gridCol w:w="1265"/>
      </w:tblGrid>
      <w:tr w:rsidR="00EC73FC" w:rsidTr="008D2379">
        <w:tc>
          <w:tcPr>
            <w:tcW w:w="3028" w:type="dxa"/>
          </w:tcPr>
          <w:p w:rsidR="00BA61CA" w:rsidRDefault="00BA61CA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177" w:type="dxa"/>
          </w:tcPr>
          <w:p w:rsidR="00BA61CA" w:rsidRDefault="00BA61CA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Витрати* на </w:t>
            </w:r>
            <w:r w:rsidR="00EC73F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адміністрування заходів державного нагляду (контролю) (за рік)</w:t>
            </w:r>
          </w:p>
        </w:tc>
        <w:tc>
          <w:tcPr>
            <w:tcW w:w="2240" w:type="dxa"/>
          </w:tcPr>
          <w:p w:rsidR="00BA61CA" w:rsidRDefault="00EC73FC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924" w:type="dxa"/>
          </w:tcPr>
          <w:p w:rsidR="00BA61CA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265" w:type="dxa"/>
          </w:tcPr>
          <w:p w:rsidR="00BA61CA" w:rsidRPr="00EC73FC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C73FC" w:rsidTr="008D2379">
        <w:tc>
          <w:tcPr>
            <w:tcW w:w="3028" w:type="dxa"/>
          </w:tcPr>
          <w:p w:rsidR="00BA61CA" w:rsidRDefault="00EC73FC" w:rsidP="008C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EC73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2177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240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924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65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tbl>
      <w:tblPr>
        <w:tblStyle w:val="a6"/>
        <w:tblpPr w:leftFromText="180" w:rightFromText="180" w:vertAnchor="text" w:horzAnchor="margin" w:tblpY="1248"/>
        <w:tblW w:w="9634" w:type="dxa"/>
        <w:tblLook w:val="04A0" w:firstRow="1" w:lastRow="0" w:firstColumn="1" w:lastColumn="0" w:noHBand="0" w:noVBand="1"/>
      </w:tblPr>
      <w:tblGrid>
        <w:gridCol w:w="2785"/>
        <w:gridCol w:w="1815"/>
        <w:gridCol w:w="2079"/>
        <w:gridCol w:w="1608"/>
        <w:gridCol w:w="1347"/>
      </w:tblGrid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Разом за рік (стартовий)</w:t>
            </w:r>
          </w:p>
        </w:tc>
        <w:tc>
          <w:tcPr>
            <w:tcW w:w="1374" w:type="dxa"/>
          </w:tcPr>
          <w:p w:rsidR="008D2379" w:rsidRPr="00344423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отримання адміністративних послуг та інших послуг (розробка програмного забезпечення Реєстру та його технічне обслуговування), гривень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7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Pr="008E3C27" w:rsidRDefault="009C6C59" w:rsidP="009C6C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5C37B1" w:rsidRPr="008C3E65" w:rsidRDefault="005C37B1" w:rsidP="008C3E65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ectPr w:rsidR="005C37B1" w:rsidRPr="008C3E65" w:rsidSect="003611B0">
          <w:headerReference w:type="default" r:id="rId7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F21685" w:rsidRPr="006039DF" w:rsidRDefault="00F21685" w:rsidP="009C6C5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824525" w:rsidRDefault="00F21685" w:rsidP="00F2168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2126"/>
      </w:tblGrid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24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70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01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8F1173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823"/>
        <w:gridCol w:w="3260"/>
        <w:gridCol w:w="2551"/>
      </w:tblGrid>
      <w:tr w:rsidR="006B02BE" w:rsidRPr="008D2379" w:rsidTr="008D2379">
        <w:tc>
          <w:tcPr>
            <w:tcW w:w="3823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6B02BE" w:rsidTr="008D2379">
        <w:tc>
          <w:tcPr>
            <w:tcW w:w="3823" w:type="dxa"/>
          </w:tcPr>
          <w:p w:rsidR="006B02BE" w:rsidRPr="00024008" w:rsidRDefault="00024008" w:rsidP="00024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додаткового персоналу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9C6C59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539"/>
        <w:gridCol w:w="1843"/>
        <w:gridCol w:w="2126"/>
        <w:gridCol w:w="2126"/>
      </w:tblGrid>
      <w:tr w:rsidR="00024008" w:rsidTr="008D2379">
        <w:tc>
          <w:tcPr>
            <w:tcW w:w="3539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43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024008" w:rsidTr="008D2379">
        <w:tc>
          <w:tcPr>
            <w:tcW w:w="3539" w:type="dxa"/>
          </w:tcPr>
          <w:p w:rsidR="00024008" w:rsidRPr="00024008" w:rsidRDefault="00024008" w:rsidP="00C17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Інше (витрати громадян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господарювання,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з ознайомленням нових регуляторних норм)</w:t>
            </w:r>
          </w:p>
        </w:tc>
        <w:tc>
          <w:tcPr>
            <w:tcW w:w="1843" w:type="dxa"/>
          </w:tcPr>
          <w:p w:rsidR="0013055D" w:rsidRDefault="0013055D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F1578C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sectPr w:rsidR="009C6C59" w:rsidSect="00337D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F2" w:rsidRDefault="00BE13F2" w:rsidP="002F4644">
      <w:pPr>
        <w:spacing w:after="0" w:line="240" w:lineRule="auto"/>
      </w:pPr>
      <w:r>
        <w:separator/>
      </w:r>
    </w:p>
  </w:endnote>
  <w:endnote w:type="continuationSeparator" w:id="0">
    <w:p w:rsidR="00BE13F2" w:rsidRDefault="00BE13F2" w:rsidP="002F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F2" w:rsidRDefault="00BE13F2" w:rsidP="002F4644">
      <w:pPr>
        <w:spacing w:after="0" w:line="240" w:lineRule="auto"/>
      </w:pPr>
      <w:r>
        <w:separator/>
      </w:r>
    </w:p>
  </w:footnote>
  <w:footnote w:type="continuationSeparator" w:id="0">
    <w:p w:rsidR="00BE13F2" w:rsidRDefault="00BE13F2" w:rsidP="002F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164392"/>
      <w:docPartObj>
        <w:docPartGallery w:val="Page Numbers (Top of Page)"/>
        <w:docPartUnique/>
      </w:docPartObj>
    </w:sdtPr>
    <w:sdtEndPr/>
    <w:sdtContent>
      <w:p w:rsidR="008B5AC5" w:rsidRDefault="008B5A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018">
          <w:rPr>
            <w:noProof/>
          </w:rPr>
          <w:t>5</w:t>
        </w:r>
        <w:r>
          <w:fldChar w:fldCharType="end"/>
        </w:r>
      </w:p>
    </w:sdtContent>
  </w:sdt>
  <w:p w:rsidR="008B5AC5" w:rsidRDefault="008B5A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223C"/>
    <w:multiLevelType w:val="hybridMultilevel"/>
    <w:tmpl w:val="451CC23E"/>
    <w:lvl w:ilvl="0" w:tplc="FE082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769"/>
    <w:multiLevelType w:val="hybridMultilevel"/>
    <w:tmpl w:val="32568786"/>
    <w:lvl w:ilvl="0" w:tplc="A06E0D28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B13DA7"/>
    <w:multiLevelType w:val="hybridMultilevel"/>
    <w:tmpl w:val="E31AEA20"/>
    <w:lvl w:ilvl="0" w:tplc="BF42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94A7C"/>
    <w:multiLevelType w:val="hybridMultilevel"/>
    <w:tmpl w:val="76FC1EFE"/>
    <w:lvl w:ilvl="0" w:tplc="F40A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6BB"/>
    <w:multiLevelType w:val="hybridMultilevel"/>
    <w:tmpl w:val="EEDABDE6"/>
    <w:lvl w:ilvl="0" w:tplc="8E98D2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4F13"/>
    <w:multiLevelType w:val="hybridMultilevel"/>
    <w:tmpl w:val="92AEA11A"/>
    <w:lvl w:ilvl="0" w:tplc="3E06F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240A34"/>
    <w:multiLevelType w:val="hybridMultilevel"/>
    <w:tmpl w:val="EC1A60EC"/>
    <w:lvl w:ilvl="0" w:tplc="28209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993574"/>
    <w:multiLevelType w:val="hybridMultilevel"/>
    <w:tmpl w:val="8C68D600"/>
    <w:lvl w:ilvl="0" w:tplc="571431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C1E3D"/>
    <w:multiLevelType w:val="hybridMultilevel"/>
    <w:tmpl w:val="27FEB8E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465569"/>
    <w:multiLevelType w:val="hybridMultilevel"/>
    <w:tmpl w:val="AD10F53C"/>
    <w:lvl w:ilvl="0" w:tplc="478E70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72A3"/>
    <w:multiLevelType w:val="hybridMultilevel"/>
    <w:tmpl w:val="ABAC729C"/>
    <w:lvl w:ilvl="0" w:tplc="130C3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6617"/>
    <w:multiLevelType w:val="hybridMultilevel"/>
    <w:tmpl w:val="C0ECCF12"/>
    <w:lvl w:ilvl="0" w:tplc="7F460B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0CF6"/>
    <w:multiLevelType w:val="hybridMultilevel"/>
    <w:tmpl w:val="7966CCF8"/>
    <w:lvl w:ilvl="0" w:tplc="79065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29F7"/>
    <w:multiLevelType w:val="hybridMultilevel"/>
    <w:tmpl w:val="F1805D82"/>
    <w:lvl w:ilvl="0" w:tplc="F7342FE0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1BAE"/>
    <w:multiLevelType w:val="hybridMultilevel"/>
    <w:tmpl w:val="2F7C1D0A"/>
    <w:lvl w:ilvl="0" w:tplc="A846F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85"/>
    <w:rsid w:val="000037AD"/>
    <w:rsid w:val="00003AE3"/>
    <w:rsid w:val="00012E02"/>
    <w:rsid w:val="00013658"/>
    <w:rsid w:val="00024008"/>
    <w:rsid w:val="00057D61"/>
    <w:rsid w:val="00071BB9"/>
    <w:rsid w:val="000824CF"/>
    <w:rsid w:val="00094445"/>
    <w:rsid w:val="000A28C0"/>
    <w:rsid w:val="000C3522"/>
    <w:rsid w:val="000D3772"/>
    <w:rsid w:val="000F226B"/>
    <w:rsid w:val="00100A10"/>
    <w:rsid w:val="0010254C"/>
    <w:rsid w:val="00106615"/>
    <w:rsid w:val="00113CC5"/>
    <w:rsid w:val="00123B02"/>
    <w:rsid w:val="0013055D"/>
    <w:rsid w:val="00140B11"/>
    <w:rsid w:val="00150ECC"/>
    <w:rsid w:val="00157458"/>
    <w:rsid w:val="001766ED"/>
    <w:rsid w:val="00183610"/>
    <w:rsid w:val="001970FE"/>
    <w:rsid w:val="001B0A44"/>
    <w:rsid w:val="001B39B0"/>
    <w:rsid w:val="001B6AC1"/>
    <w:rsid w:val="001C356D"/>
    <w:rsid w:val="001D58D1"/>
    <w:rsid w:val="001D6639"/>
    <w:rsid w:val="002028A5"/>
    <w:rsid w:val="002054E5"/>
    <w:rsid w:val="00205869"/>
    <w:rsid w:val="00207A2D"/>
    <w:rsid w:val="00220F1F"/>
    <w:rsid w:val="00225F31"/>
    <w:rsid w:val="002366FC"/>
    <w:rsid w:val="00244F96"/>
    <w:rsid w:val="00246E96"/>
    <w:rsid w:val="00263120"/>
    <w:rsid w:val="002A045D"/>
    <w:rsid w:val="002F3D50"/>
    <w:rsid w:val="002F4644"/>
    <w:rsid w:val="002F71D3"/>
    <w:rsid w:val="00304160"/>
    <w:rsid w:val="003131AB"/>
    <w:rsid w:val="00337DBC"/>
    <w:rsid w:val="00344423"/>
    <w:rsid w:val="0034518B"/>
    <w:rsid w:val="003547EA"/>
    <w:rsid w:val="003611B0"/>
    <w:rsid w:val="00373C8F"/>
    <w:rsid w:val="00394C5E"/>
    <w:rsid w:val="003C5B1A"/>
    <w:rsid w:val="003D1E42"/>
    <w:rsid w:val="004039A4"/>
    <w:rsid w:val="00432BF8"/>
    <w:rsid w:val="004351A2"/>
    <w:rsid w:val="004411D7"/>
    <w:rsid w:val="0046104C"/>
    <w:rsid w:val="00467FCC"/>
    <w:rsid w:val="004771E3"/>
    <w:rsid w:val="00487969"/>
    <w:rsid w:val="004B2FE6"/>
    <w:rsid w:val="004D2552"/>
    <w:rsid w:val="004D7CE1"/>
    <w:rsid w:val="00541E99"/>
    <w:rsid w:val="0056589C"/>
    <w:rsid w:val="005872B2"/>
    <w:rsid w:val="005977D0"/>
    <w:rsid w:val="005A65CE"/>
    <w:rsid w:val="005B7E70"/>
    <w:rsid w:val="005C37B1"/>
    <w:rsid w:val="005D59C0"/>
    <w:rsid w:val="005D60CB"/>
    <w:rsid w:val="005E34F4"/>
    <w:rsid w:val="005F334C"/>
    <w:rsid w:val="00602835"/>
    <w:rsid w:val="006039DF"/>
    <w:rsid w:val="006174CB"/>
    <w:rsid w:val="0064746C"/>
    <w:rsid w:val="006547A1"/>
    <w:rsid w:val="00674CD4"/>
    <w:rsid w:val="00680A69"/>
    <w:rsid w:val="00692A60"/>
    <w:rsid w:val="006A5758"/>
    <w:rsid w:val="006B02BE"/>
    <w:rsid w:val="006B37EA"/>
    <w:rsid w:val="006B5BBB"/>
    <w:rsid w:val="006D16E1"/>
    <w:rsid w:val="007000EC"/>
    <w:rsid w:val="0070472D"/>
    <w:rsid w:val="0073212A"/>
    <w:rsid w:val="007577DF"/>
    <w:rsid w:val="0075786C"/>
    <w:rsid w:val="00786BAC"/>
    <w:rsid w:val="007A4451"/>
    <w:rsid w:val="007B4E6D"/>
    <w:rsid w:val="007C3268"/>
    <w:rsid w:val="00804CCA"/>
    <w:rsid w:val="00810EB4"/>
    <w:rsid w:val="0081107D"/>
    <w:rsid w:val="00824525"/>
    <w:rsid w:val="008404DD"/>
    <w:rsid w:val="00884D09"/>
    <w:rsid w:val="008855C1"/>
    <w:rsid w:val="00890F79"/>
    <w:rsid w:val="00893BF8"/>
    <w:rsid w:val="008B0816"/>
    <w:rsid w:val="008B2791"/>
    <w:rsid w:val="008B5AC5"/>
    <w:rsid w:val="008C3E65"/>
    <w:rsid w:val="008D2379"/>
    <w:rsid w:val="008D3405"/>
    <w:rsid w:val="008E3C27"/>
    <w:rsid w:val="008F1173"/>
    <w:rsid w:val="008F349F"/>
    <w:rsid w:val="00901DC0"/>
    <w:rsid w:val="00952C15"/>
    <w:rsid w:val="009C6C59"/>
    <w:rsid w:val="009D4941"/>
    <w:rsid w:val="009D69F7"/>
    <w:rsid w:val="00A02D77"/>
    <w:rsid w:val="00A31035"/>
    <w:rsid w:val="00A40310"/>
    <w:rsid w:val="00A47556"/>
    <w:rsid w:val="00A66C64"/>
    <w:rsid w:val="00A84FCD"/>
    <w:rsid w:val="00A85A00"/>
    <w:rsid w:val="00A914DE"/>
    <w:rsid w:val="00AC264E"/>
    <w:rsid w:val="00AC3828"/>
    <w:rsid w:val="00AC5A1E"/>
    <w:rsid w:val="00AC5FA3"/>
    <w:rsid w:val="00B140B4"/>
    <w:rsid w:val="00B1568C"/>
    <w:rsid w:val="00B3608F"/>
    <w:rsid w:val="00B466B0"/>
    <w:rsid w:val="00B61D2A"/>
    <w:rsid w:val="00B642CF"/>
    <w:rsid w:val="00B97291"/>
    <w:rsid w:val="00BA61CA"/>
    <w:rsid w:val="00BB10BC"/>
    <w:rsid w:val="00BE13F2"/>
    <w:rsid w:val="00BF1F47"/>
    <w:rsid w:val="00BF3460"/>
    <w:rsid w:val="00C07FCB"/>
    <w:rsid w:val="00C17CB9"/>
    <w:rsid w:val="00C21C6C"/>
    <w:rsid w:val="00C24EC9"/>
    <w:rsid w:val="00C305CF"/>
    <w:rsid w:val="00CA4BEB"/>
    <w:rsid w:val="00CC2D72"/>
    <w:rsid w:val="00CD2260"/>
    <w:rsid w:val="00D031B0"/>
    <w:rsid w:val="00D040B9"/>
    <w:rsid w:val="00D326D2"/>
    <w:rsid w:val="00D50AC5"/>
    <w:rsid w:val="00D6598A"/>
    <w:rsid w:val="00D831CE"/>
    <w:rsid w:val="00D916B1"/>
    <w:rsid w:val="00DB3450"/>
    <w:rsid w:val="00DB5172"/>
    <w:rsid w:val="00DD3817"/>
    <w:rsid w:val="00DF579B"/>
    <w:rsid w:val="00E06050"/>
    <w:rsid w:val="00E07C60"/>
    <w:rsid w:val="00E53AA7"/>
    <w:rsid w:val="00E57FD0"/>
    <w:rsid w:val="00E6241B"/>
    <w:rsid w:val="00E8160D"/>
    <w:rsid w:val="00EA6018"/>
    <w:rsid w:val="00EA7A73"/>
    <w:rsid w:val="00EB1421"/>
    <w:rsid w:val="00EB7323"/>
    <w:rsid w:val="00EC73FC"/>
    <w:rsid w:val="00F1578C"/>
    <w:rsid w:val="00F17ACE"/>
    <w:rsid w:val="00F21685"/>
    <w:rsid w:val="00F23D51"/>
    <w:rsid w:val="00F31829"/>
    <w:rsid w:val="00F520E0"/>
    <w:rsid w:val="00F6030B"/>
    <w:rsid w:val="00F65163"/>
    <w:rsid w:val="00F76013"/>
    <w:rsid w:val="00F8565D"/>
    <w:rsid w:val="00FC75C0"/>
    <w:rsid w:val="00FD481E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F841"/>
  <w15:chartTrackingRefBased/>
  <w15:docId w15:val="{67647622-1212-473B-8058-6145FBE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73"/>
  </w:style>
  <w:style w:type="paragraph" w:styleId="1">
    <w:name w:val="heading 1"/>
    <w:basedOn w:val="a"/>
    <w:link w:val="10"/>
    <w:uiPriority w:val="9"/>
    <w:qFormat/>
    <w:rsid w:val="00B466B0"/>
    <w:pPr>
      <w:spacing w:after="0" w:line="240" w:lineRule="auto"/>
      <w:ind w:left="11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8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10254C"/>
    <w:pPr>
      <w:ind w:left="720"/>
      <w:contextualSpacing/>
    </w:pPr>
  </w:style>
  <w:style w:type="table" w:styleId="a6">
    <w:name w:val="Table Grid"/>
    <w:basedOn w:val="a1"/>
    <w:uiPriority w:val="59"/>
    <w:rsid w:val="0061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F4644"/>
  </w:style>
  <w:style w:type="paragraph" w:styleId="a9">
    <w:name w:val="footer"/>
    <w:basedOn w:val="a"/>
    <w:link w:val="aa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F4644"/>
  </w:style>
  <w:style w:type="paragraph" w:customStyle="1" w:styleId="TableParagraph">
    <w:name w:val="Table Paragraph"/>
    <w:basedOn w:val="a"/>
    <w:uiPriority w:val="1"/>
    <w:qFormat/>
    <w:rsid w:val="000A28C0"/>
    <w:pPr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66B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11766</Words>
  <Characters>6708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Тетяночка</dc:creator>
  <cp:keywords/>
  <dc:description/>
  <cp:lastModifiedBy>Work</cp:lastModifiedBy>
  <cp:revision>7</cp:revision>
  <cp:lastPrinted>2023-05-19T12:17:00Z</cp:lastPrinted>
  <dcterms:created xsi:type="dcterms:W3CDTF">2023-05-11T11:29:00Z</dcterms:created>
  <dcterms:modified xsi:type="dcterms:W3CDTF">2023-05-19T12:29:00Z</dcterms:modified>
</cp:coreProperties>
</file>