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A664" w14:textId="77777777" w:rsidR="0070289D" w:rsidRPr="00B61AA5" w:rsidRDefault="0070289D" w:rsidP="0070289D">
      <w:pPr>
        <w:ind w:firstLine="851"/>
        <w:contextualSpacing/>
        <w:jc w:val="center"/>
        <w:rPr>
          <w:b/>
          <w:bCs/>
          <w:lang w:val="uk-UA"/>
        </w:rPr>
      </w:pPr>
      <w:bookmarkStart w:id="0" w:name="_Hlk142918748"/>
      <w:r w:rsidRPr="00B61AA5">
        <w:rPr>
          <w:b/>
          <w:bCs/>
          <w:lang w:val="uk-UA"/>
        </w:rPr>
        <w:t xml:space="preserve">Повідомлення про намір ТОВ «Оператор ГТС України» отримати дозвіл на викиди забруднюючих речовин стаціонарними джерелами </w:t>
      </w:r>
    </w:p>
    <w:p w14:paraId="5079FBB5" w14:textId="77777777" w:rsidR="0070289D" w:rsidRPr="00B61AA5" w:rsidRDefault="0070289D" w:rsidP="0070289D">
      <w:pPr>
        <w:ind w:firstLine="851"/>
        <w:contextualSpacing/>
        <w:jc w:val="center"/>
        <w:rPr>
          <w:b/>
          <w:bCs/>
          <w:lang w:val="uk-UA"/>
        </w:rPr>
      </w:pPr>
      <w:r w:rsidRPr="00B61AA5">
        <w:rPr>
          <w:b/>
          <w:bCs/>
          <w:lang w:val="uk-UA"/>
        </w:rPr>
        <w:t xml:space="preserve">ГРС </w:t>
      </w:r>
      <w:proofErr w:type="spellStart"/>
      <w:r w:rsidR="00CD1529">
        <w:rPr>
          <w:b/>
          <w:bCs/>
          <w:lang w:val="uk-UA"/>
        </w:rPr>
        <w:t>Буцинь</w:t>
      </w:r>
      <w:proofErr w:type="spellEnd"/>
      <w:r w:rsidRPr="00B61AA5">
        <w:rPr>
          <w:b/>
          <w:bCs/>
          <w:lang w:val="uk-UA"/>
        </w:rPr>
        <w:t xml:space="preserve"> </w:t>
      </w:r>
      <w:proofErr w:type="spellStart"/>
      <w:r w:rsidRPr="00B61AA5">
        <w:rPr>
          <w:b/>
          <w:bCs/>
          <w:lang w:val="uk-UA"/>
        </w:rPr>
        <w:t>Бібрського</w:t>
      </w:r>
      <w:proofErr w:type="spellEnd"/>
      <w:r w:rsidRPr="00B61AA5">
        <w:rPr>
          <w:b/>
          <w:bCs/>
          <w:lang w:val="uk-UA"/>
        </w:rPr>
        <w:t xml:space="preserve"> ЛВУМГ </w:t>
      </w:r>
    </w:p>
    <w:p w14:paraId="72BA1D20" w14:textId="77777777" w:rsidR="0070289D" w:rsidRPr="00B61AA5" w:rsidRDefault="0070289D" w:rsidP="0070289D">
      <w:pPr>
        <w:ind w:firstLine="851"/>
        <w:contextualSpacing/>
        <w:rPr>
          <w:lang w:val="uk-UA"/>
        </w:rPr>
      </w:pPr>
    </w:p>
    <w:p w14:paraId="68FC54AD" w14:textId="77777777" w:rsidR="0070289D" w:rsidRPr="00B61AA5" w:rsidRDefault="0070289D" w:rsidP="0070289D">
      <w:pPr>
        <w:pStyle w:val="rvps2"/>
        <w:shd w:val="clear" w:color="auto" w:fill="FFFFFF"/>
        <w:spacing w:before="0" w:beforeAutospacing="0" w:after="0" w:afterAutospacing="0"/>
        <w:ind w:firstLine="851"/>
        <w:contextualSpacing/>
        <w:jc w:val="both"/>
        <w:rPr>
          <w:lang w:val="uk-UA"/>
        </w:rPr>
      </w:pPr>
      <w:r w:rsidRPr="00B61AA5">
        <w:rPr>
          <w:b/>
          <w:bCs/>
          <w:lang w:val="uk-UA"/>
        </w:rPr>
        <w:t>Повне та скорочене найменування суб’єкта господарювання:</w:t>
      </w:r>
      <w:r w:rsidRPr="00B61AA5">
        <w:rPr>
          <w:lang w:val="uk-UA"/>
        </w:rPr>
        <w:t xml:space="preserve"> Товариство з обмеженою відповідальністю «Оператор газотранспортної системи України» (ТОВ «Оператор ГТС України»).</w:t>
      </w:r>
    </w:p>
    <w:p w14:paraId="33495B06" w14:textId="77777777" w:rsidR="0070289D" w:rsidRPr="00B61AA5" w:rsidRDefault="0070289D" w:rsidP="0070289D">
      <w:pPr>
        <w:pStyle w:val="rvps2"/>
        <w:shd w:val="clear" w:color="auto" w:fill="FFFFFF"/>
        <w:spacing w:before="0" w:beforeAutospacing="0" w:after="0" w:afterAutospacing="0"/>
        <w:ind w:firstLine="851"/>
        <w:contextualSpacing/>
        <w:jc w:val="both"/>
        <w:rPr>
          <w:lang w:val="uk-UA"/>
        </w:rPr>
      </w:pPr>
      <w:bookmarkStart w:id="1" w:name="n115"/>
      <w:bookmarkEnd w:id="1"/>
      <w:r w:rsidRPr="00B61AA5">
        <w:rPr>
          <w:b/>
          <w:bCs/>
          <w:lang w:val="uk-UA"/>
        </w:rPr>
        <w:t>Ідентифікаційний код юридичної особи в ЄДРПОУ:</w:t>
      </w:r>
      <w:r w:rsidRPr="00B61AA5">
        <w:rPr>
          <w:lang w:val="uk-UA"/>
        </w:rPr>
        <w:t xml:space="preserve"> 42795490.</w:t>
      </w:r>
    </w:p>
    <w:p w14:paraId="2035B76B" w14:textId="77777777" w:rsidR="0070289D" w:rsidRPr="00B61AA5" w:rsidRDefault="0070289D" w:rsidP="0070289D">
      <w:pPr>
        <w:pStyle w:val="rvps2"/>
        <w:shd w:val="clear" w:color="auto" w:fill="FFFFFF"/>
        <w:spacing w:before="0" w:beforeAutospacing="0" w:after="0" w:afterAutospacing="0"/>
        <w:ind w:firstLine="851"/>
        <w:contextualSpacing/>
        <w:jc w:val="both"/>
        <w:rPr>
          <w:lang w:val="uk-UA"/>
        </w:rPr>
      </w:pPr>
      <w:bookmarkStart w:id="2" w:name="n116"/>
      <w:bookmarkEnd w:id="2"/>
      <w:r w:rsidRPr="00B61AA5">
        <w:rPr>
          <w:b/>
          <w:bCs/>
          <w:lang w:val="uk-UA"/>
        </w:rPr>
        <w:t>Місцезнаходження суб’єкта господарювання, контактні дані:</w:t>
      </w:r>
      <w:r w:rsidRPr="00B61AA5">
        <w:rPr>
          <w:lang w:val="uk-UA"/>
        </w:rPr>
        <w:t xml:space="preserve"> Україна, 03065, місто Київ, пр. </w:t>
      </w:r>
      <w:proofErr w:type="spellStart"/>
      <w:r w:rsidRPr="00B61AA5">
        <w:rPr>
          <w:lang w:val="uk-UA"/>
        </w:rPr>
        <w:t>Гузара</w:t>
      </w:r>
      <w:proofErr w:type="spellEnd"/>
      <w:r w:rsidRPr="00B61AA5">
        <w:rPr>
          <w:lang w:val="uk-UA"/>
        </w:rPr>
        <w:t xml:space="preserve"> Любомира, будинок 44; </w:t>
      </w:r>
      <w:proofErr w:type="spellStart"/>
      <w:r w:rsidRPr="00B61AA5">
        <w:rPr>
          <w:lang w:val="uk-UA"/>
        </w:rPr>
        <w:t>тел</w:t>
      </w:r>
      <w:proofErr w:type="spellEnd"/>
      <w:r w:rsidRPr="00B61AA5">
        <w:rPr>
          <w:lang w:val="uk-UA"/>
        </w:rPr>
        <w:t>.:</w:t>
      </w:r>
      <w:r w:rsidR="001D7354">
        <w:rPr>
          <w:lang w:val="uk-UA"/>
        </w:rPr>
        <w:t xml:space="preserve"> </w:t>
      </w:r>
      <w:r w:rsidRPr="00B61AA5">
        <w:rPr>
          <w:lang w:val="uk-UA"/>
        </w:rPr>
        <w:t>(044) 239-77-76, (044) 298-64-7; e-mail:</w:t>
      </w:r>
      <w:hyperlink r:id="rId4" w:history="1">
        <w:r w:rsidR="001D7354" w:rsidRPr="00036CBE">
          <w:rPr>
            <w:rStyle w:val="a3"/>
            <w:lang w:val="uk-UA"/>
          </w:rPr>
          <w:t>info@tsoua.com</w:t>
        </w:r>
      </w:hyperlink>
    </w:p>
    <w:p w14:paraId="47CA4D3A" w14:textId="77777777" w:rsidR="0070289D" w:rsidRPr="00B61AA5" w:rsidRDefault="0070289D" w:rsidP="0070289D">
      <w:pPr>
        <w:pStyle w:val="rvps2"/>
        <w:shd w:val="clear" w:color="auto" w:fill="FFFFFF"/>
        <w:spacing w:before="0" w:beforeAutospacing="0" w:after="0" w:afterAutospacing="0"/>
        <w:ind w:firstLine="851"/>
        <w:contextualSpacing/>
        <w:jc w:val="both"/>
        <w:rPr>
          <w:lang w:val="uk-UA"/>
        </w:rPr>
      </w:pPr>
      <w:bookmarkStart w:id="3" w:name="n117"/>
      <w:bookmarkEnd w:id="3"/>
      <w:r w:rsidRPr="00B61AA5">
        <w:rPr>
          <w:b/>
          <w:bCs/>
          <w:lang w:val="uk-UA"/>
        </w:rPr>
        <w:t>Місцезнаходження об’єкта:</w:t>
      </w:r>
      <w:r w:rsidRPr="00B61AA5">
        <w:rPr>
          <w:lang w:val="uk-UA"/>
        </w:rPr>
        <w:t xml:space="preserve"> </w:t>
      </w:r>
      <w:r w:rsidR="00917EC2">
        <w:rPr>
          <w:lang w:val="uk-UA"/>
        </w:rPr>
        <w:t xml:space="preserve">Україна, 44440, Волинська область, Ковельський район, село </w:t>
      </w:r>
      <w:proofErr w:type="spellStart"/>
      <w:r w:rsidR="00917EC2">
        <w:rPr>
          <w:lang w:val="uk-UA"/>
        </w:rPr>
        <w:t>Буцинь</w:t>
      </w:r>
      <w:proofErr w:type="spellEnd"/>
      <w:r w:rsidRPr="00B61AA5">
        <w:rPr>
          <w:lang w:val="uk-UA"/>
        </w:rPr>
        <w:t>.</w:t>
      </w:r>
    </w:p>
    <w:p w14:paraId="37017D3E" w14:textId="77777777" w:rsidR="0070289D" w:rsidRPr="00B61AA5" w:rsidRDefault="0070289D" w:rsidP="0070289D">
      <w:pPr>
        <w:pStyle w:val="rvps2"/>
        <w:shd w:val="clear" w:color="auto" w:fill="FFFFFF"/>
        <w:spacing w:before="0" w:beforeAutospacing="0" w:after="0" w:afterAutospacing="0"/>
        <w:ind w:firstLine="851"/>
        <w:contextualSpacing/>
        <w:jc w:val="both"/>
        <w:rPr>
          <w:lang w:val="uk-UA"/>
        </w:rPr>
      </w:pPr>
      <w:bookmarkStart w:id="4" w:name="n118"/>
      <w:bookmarkEnd w:id="4"/>
      <w:r w:rsidRPr="00B61AA5">
        <w:rPr>
          <w:b/>
          <w:bCs/>
          <w:lang w:val="uk-UA"/>
        </w:rPr>
        <w:t>Мета отримання дозволу на викиди:</w:t>
      </w:r>
      <w:r w:rsidRPr="00B61AA5">
        <w:rPr>
          <w:lang w:val="uk-UA"/>
        </w:rPr>
        <w:t xml:space="preserve"> дотримання вимог природоохоронного законодавства, отримання дозволу на викиди для існуючого об'єкту.</w:t>
      </w:r>
    </w:p>
    <w:p w14:paraId="4F2E7ED3" w14:textId="77777777" w:rsidR="0070289D" w:rsidRPr="00B61AA5" w:rsidRDefault="0070289D" w:rsidP="0070289D">
      <w:pPr>
        <w:pStyle w:val="rvps2"/>
        <w:shd w:val="clear" w:color="auto" w:fill="FFFFFF"/>
        <w:spacing w:before="0" w:beforeAutospacing="0" w:after="0" w:afterAutospacing="0"/>
        <w:ind w:firstLine="851"/>
        <w:contextualSpacing/>
        <w:jc w:val="both"/>
        <w:rPr>
          <w:lang w:val="uk-UA"/>
        </w:rPr>
      </w:pPr>
      <w:r w:rsidRPr="00B61AA5">
        <w:rPr>
          <w:b/>
          <w:bCs/>
          <w:lang w:val="uk-UA"/>
        </w:rPr>
        <w:t xml:space="preserve">Відомості про наявність висновку з оцінки впливу на довкілля: </w:t>
      </w:r>
      <w:r w:rsidRPr="00B61AA5">
        <w:rPr>
          <w:lang w:val="uk-UA"/>
        </w:rPr>
        <w:t xml:space="preserve">ГРС </w:t>
      </w:r>
      <w:proofErr w:type="spellStart"/>
      <w:r w:rsidR="00CD1529">
        <w:rPr>
          <w:lang w:val="uk-UA"/>
        </w:rPr>
        <w:t>Буцинь</w:t>
      </w:r>
      <w:proofErr w:type="spellEnd"/>
      <w:r w:rsidRPr="00B61AA5">
        <w:rPr>
          <w:lang w:val="uk-UA"/>
        </w:rPr>
        <w:t xml:space="preserve"> є діючим об’єктом, що введений в експлуатацію в 19</w:t>
      </w:r>
      <w:r w:rsidR="002D2954">
        <w:rPr>
          <w:lang w:val="uk-UA"/>
        </w:rPr>
        <w:t>83</w:t>
      </w:r>
      <w:r w:rsidRPr="00B61AA5">
        <w:rPr>
          <w:lang w:val="uk-UA"/>
        </w:rPr>
        <w:t xml:space="preserve"> році. 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ТОВ «Оператор ГТС України» на об’єкті ГРС </w:t>
      </w:r>
      <w:proofErr w:type="spellStart"/>
      <w:r w:rsidR="00CD1529">
        <w:rPr>
          <w:lang w:val="uk-UA"/>
        </w:rPr>
        <w:t>Буцинь</w:t>
      </w:r>
      <w:proofErr w:type="spellEnd"/>
      <w:r w:rsidRPr="00B61AA5">
        <w:rPr>
          <w:lang w:val="uk-UA"/>
        </w:rPr>
        <w:t xml:space="preserve"> </w:t>
      </w:r>
      <w:proofErr w:type="spellStart"/>
      <w:r w:rsidRPr="00B61AA5">
        <w:rPr>
          <w:lang w:val="uk-UA"/>
        </w:rPr>
        <w:t>Бібрського</w:t>
      </w:r>
      <w:proofErr w:type="spellEnd"/>
      <w:r w:rsidRPr="00B61AA5">
        <w:rPr>
          <w:lang w:val="uk-UA"/>
        </w:rPr>
        <w:t xml:space="preserve"> ЛВУМГ не підлягає оцінці впливу на довкілля.</w:t>
      </w:r>
    </w:p>
    <w:p w14:paraId="45C4538C" w14:textId="77777777" w:rsidR="0070289D" w:rsidRPr="00B61AA5" w:rsidRDefault="0070289D" w:rsidP="0070289D">
      <w:pPr>
        <w:ind w:firstLine="851"/>
        <w:contextualSpacing/>
        <w:jc w:val="both"/>
        <w:rPr>
          <w:lang w:val="uk-UA"/>
        </w:rPr>
      </w:pPr>
      <w:bookmarkStart w:id="5" w:name="n120"/>
      <w:bookmarkEnd w:id="5"/>
      <w:r w:rsidRPr="00B61AA5">
        <w:rPr>
          <w:b/>
          <w:bCs/>
          <w:lang w:val="uk-UA"/>
        </w:rPr>
        <w:t xml:space="preserve">Загальний опис об’єкта: </w:t>
      </w:r>
      <w:r w:rsidRPr="00B61AA5">
        <w:rPr>
          <w:lang w:val="uk-UA"/>
        </w:rPr>
        <w:t xml:space="preserve">Газорозподільна станція (ГРС) – об’єкт газотранспортної системи, призначений для зниження тиску природного газу, з яким він поступає з магістрального газопроводу до тиску, допустимого для мереж розподілення природного газу споживачам, та наступної подачі газу споживачам з необхідним і сталим тиском, ступенем очищення, ступенем </w:t>
      </w:r>
      <w:proofErr w:type="spellStart"/>
      <w:r w:rsidRPr="00B61AA5">
        <w:rPr>
          <w:lang w:val="uk-UA"/>
        </w:rPr>
        <w:t>одорування</w:t>
      </w:r>
      <w:proofErr w:type="spellEnd"/>
      <w:r w:rsidRPr="00B61AA5">
        <w:rPr>
          <w:lang w:val="uk-UA"/>
        </w:rPr>
        <w:t xml:space="preserve">. </w:t>
      </w:r>
    </w:p>
    <w:p w14:paraId="17C5F51C" w14:textId="5ADECE3D" w:rsidR="001D7354" w:rsidRDefault="0070289D" w:rsidP="00F37FC5">
      <w:pPr>
        <w:ind w:firstLine="851"/>
        <w:contextualSpacing/>
        <w:jc w:val="both"/>
        <w:rPr>
          <w:lang w:val="uk-UA"/>
        </w:rPr>
      </w:pPr>
      <w:r w:rsidRPr="00B61AA5">
        <w:rPr>
          <w:lang w:val="uk-UA"/>
        </w:rPr>
        <w:t xml:space="preserve">В межах об’єкту розміщене основне та допоміжне обладнання для редукування, очищення, </w:t>
      </w:r>
      <w:proofErr w:type="spellStart"/>
      <w:r w:rsidRPr="00B61AA5">
        <w:rPr>
          <w:lang w:val="uk-UA"/>
        </w:rPr>
        <w:t>одорування</w:t>
      </w:r>
      <w:proofErr w:type="spellEnd"/>
      <w:r w:rsidRPr="00B61AA5">
        <w:rPr>
          <w:lang w:val="uk-UA"/>
        </w:rPr>
        <w:t xml:space="preserve"> транспортованого природного газу, яке працює автоматизовано, у закритому режимі, цілодобово. Для теплопостачання виробничих приміщень в межах майданчику розміщено побутовий котел. </w:t>
      </w:r>
      <w:r w:rsidR="00F37FC5" w:rsidRPr="00B61AA5">
        <w:rPr>
          <w:lang w:val="uk-UA"/>
        </w:rPr>
        <w:t xml:space="preserve">Для дотримання відповідного температурного режиму природного газу, задля попередження утворення </w:t>
      </w:r>
      <w:proofErr w:type="spellStart"/>
      <w:r w:rsidR="00F37FC5" w:rsidRPr="00B61AA5">
        <w:rPr>
          <w:lang w:val="uk-UA"/>
        </w:rPr>
        <w:t>кристалогідратних</w:t>
      </w:r>
      <w:proofErr w:type="spellEnd"/>
      <w:r w:rsidR="00F37FC5" w:rsidRPr="00B61AA5">
        <w:rPr>
          <w:lang w:val="uk-UA"/>
        </w:rPr>
        <w:t xml:space="preserve"> пробок в порожнинах газопроводів мереж розподілення, на підприємстві використовують підігрівач газу.</w:t>
      </w:r>
    </w:p>
    <w:p w14:paraId="2058DF15" w14:textId="77777777" w:rsidR="0070289D" w:rsidRPr="00B61AA5" w:rsidRDefault="0070289D" w:rsidP="00F37FC5">
      <w:pPr>
        <w:ind w:firstLine="851"/>
        <w:contextualSpacing/>
        <w:jc w:val="both"/>
        <w:rPr>
          <w:lang w:val="uk-UA"/>
        </w:rPr>
      </w:pPr>
      <w:r w:rsidRPr="00B61AA5">
        <w:rPr>
          <w:lang w:val="uk-UA"/>
        </w:rPr>
        <w:t>Джерелами викиду забруднюючих речовин є димові труби, технологічні сві</w:t>
      </w:r>
      <w:r w:rsidR="008248B7">
        <w:rPr>
          <w:lang w:val="uk-UA"/>
        </w:rPr>
        <w:t>ч</w:t>
      </w:r>
      <w:r w:rsidRPr="00B61AA5">
        <w:rPr>
          <w:lang w:val="uk-UA"/>
        </w:rPr>
        <w:t xml:space="preserve">і та неорганізований викид під час спрацювання </w:t>
      </w:r>
      <w:r w:rsidR="001246F4" w:rsidRPr="00AD2406">
        <w:rPr>
          <w:lang w:val="uk-UA"/>
        </w:rPr>
        <w:t>силових пневматичних кранів</w:t>
      </w:r>
      <w:r w:rsidR="001246F4" w:rsidRPr="00B61AA5">
        <w:rPr>
          <w:lang w:val="uk-UA"/>
        </w:rPr>
        <w:t xml:space="preserve"> </w:t>
      </w:r>
      <w:r w:rsidRPr="00B61AA5">
        <w:rPr>
          <w:lang w:val="uk-UA"/>
        </w:rPr>
        <w:t xml:space="preserve">і продування з’єднувальних ліній системи вимірювання витрат технологічного та імпульсного газу. Загальна кількість джерел викиду – </w:t>
      </w:r>
      <w:r w:rsidR="00CD1529">
        <w:rPr>
          <w:lang w:val="uk-UA"/>
        </w:rPr>
        <w:t>9</w:t>
      </w:r>
      <w:r w:rsidRPr="00B61AA5">
        <w:rPr>
          <w:lang w:val="uk-UA"/>
        </w:rPr>
        <w:t xml:space="preserve"> (</w:t>
      </w:r>
      <w:r w:rsidR="00CD1529">
        <w:rPr>
          <w:lang w:val="uk-UA"/>
        </w:rPr>
        <w:t>8</w:t>
      </w:r>
      <w:r w:rsidRPr="00B61AA5">
        <w:rPr>
          <w:lang w:val="uk-UA"/>
        </w:rPr>
        <w:t xml:space="preserve"> – організован</w:t>
      </w:r>
      <w:r w:rsidR="001D7354">
        <w:rPr>
          <w:lang w:val="uk-UA"/>
        </w:rPr>
        <w:t>их</w:t>
      </w:r>
      <w:r w:rsidRPr="00B61AA5">
        <w:rPr>
          <w:lang w:val="uk-UA"/>
        </w:rPr>
        <w:t>, 1 – неорганізоване).</w:t>
      </w:r>
    </w:p>
    <w:p w14:paraId="0C72ED0B" w14:textId="77777777" w:rsidR="0070289D" w:rsidRPr="00B61AA5" w:rsidRDefault="0070289D" w:rsidP="0070289D">
      <w:pPr>
        <w:ind w:firstLine="851"/>
        <w:contextualSpacing/>
        <w:jc w:val="both"/>
        <w:rPr>
          <w:lang w:val="uk-UA"/>
        </w:rPr>
      </w:pPr>
      <w:r w:rsidRPr="00B61AA5">
        <w:rPr>
          <w:lang w:val="uk-UA"/>
        </w:rPr>
        <w:t xml:space="preserve">Суб’єкт господарювання </w:t>
      </w:r>
      <w:proofErr w:type="spellStart"/>
      <w:r w:rsidRPr="00B61AA5">
        <w:rPr>
          <w:lang w:val="uk-UA"/>
        </w:rPr>
        <w:t>внесено</w:t>
      </w:r>
      <w:proofErr w:type="spellEnd"/>
      <w:r w:rsidRPr="00B61AA5">
        <w:rPr>
          <w:lang w:val="uk-UA"/>
        </w:rPr>
        <w:t xml:space="preserve"> до Переліку об'єктів державної власності, що мають стратегічне значення для економіки і безпеки держави, що затверджений постановою Кабінету М</w:t>
      </w:r>
      <w:r w:rsidR="001246F4">
        <w:rPr>
          <w:lang w:val="uk-UA"/>
        </w:rPr>
        <w:t>і</w:t>
      </w:r>
      <w:r w:rsidRPr="00B61AA5">
        <w:rPr>
          <w:lang w:val="uk-UA"/>
        </w:rPr>
        <w:t>ністрів України від 04.03.2015р. №83. Детальні технічні характеристики устаткування та об’єкту в цілому є конфіденційною інформацією і, з міркувань безпеки та стійкості газотранспортної системи України, не підлягають поширенню за межі структури підприємства. Доступ сторонніх осіб до об’єкту заборонено.</w:t>
      </w:r>
    </w:p>
    <w:p w14:paraId="2FFC6C41" w14:textId="25935893" w:rsidR="0070289D" w:rsidRPr="00B61AA5" w:rsidRDefault="0070289D" w:rsidP="0070289D">
      <w:pPr>
        <w:ind w:firstLine="851"/>
        <w:contextualSpacing/>
        <w:jc w:val="both"/>
        <w:rPr>
          <w:lang w:val="uk-UA"/>
        </w:rPr>
      </w:pPr>
      <w:bookmarkStart w:id="6" w:name="n121"/>
      <w:bookmarkEnd w:id="6"/>
      <w:r w:rsidRPr="00B61AA5">
        <w:rPr>
          <w:b/>
          <w:bCs/>
          <w:lang w:val="uk-UA"/>
        </w:rPr>
        <w:t xml:space="preserve">Відомості щодо видів та обсягів викидів. </w:t>
      </w:r>
      <w:r w:rsidRPr="00B61AA5">
        <w:rPr>
          <w:lang w:val="uk-UA"/>
        </w:rPr>
        <w:t xml:space="preserve">Потенційні обсяги викидів забруднюючих речовин в атмосферне повітря становлять – </w:t>
      </w:r>
      <w:r w:rsidR="00046CA1" w:rsidRPr="00046CA1">
        <w:rPr>
          <w:lang w:val="uk-UA"/>
        </w:rPr>
        <w:t xml:space="preserve">226,89521 </w:t>
      </w:r>
      <w:r w:rsidRPr="00B61AA5">
        <w:rPr>
          <w:lang w:val="uk-UA"/>
        </w:rPr>
        <w:t xml:space="preserve">т/рік, в тому числі: оксид вуглецю - </w:t>
      </w:r>
      <w:r w:rsidR="00046CA1" w:rsidRPr="00046CA1">
        <w:rPr>
          <w:lang w:val="uk-UA"/>
        </w:rPr>
        <w:t>0,33496</w:t>
      </w:r>
      <w:r w:rsidR="00046CA1">
        <w:rPr>
          <w:lang w:val="uk-UA"/>
        </w:rPr>
        <w:t xml:space="preserve"> </w:t>
      </w:r>
      <w:r w:rsidRPr="00B61AA5">
        <w:rPr>
          <w:lang w:val="uk-UA"/>
        </w:rPr>
        <w:t xml:space="preserve">т/рік, вуглецю діоксид - </w:t>
      </w:r>
      <w:r w:rsidR="00046CA1" w:rsidRPr="00046CA1">
        <w:rPr>
          <w:lang w:val="uk-UA"/>
        </w:rPr>
        <w:t>222,33200</w:t>
      </w:r>
      <w:r w:rsidR="00E02793">
        <w:rPr>
          <w:lang w:val="uk-UA"/>
        </w:rPr>
        <w:t xml:space="preserve"> </w:t>
      </w:r>
      <w:r w:rsidRPr="00B61AA5">
        <w:rPr>
          <w:lang w:val="uk-UA"/>
        </w:rPr>
        <w:t xml:space="preserve">т/рік, метан - </w:t>
      </w:r>
      <w:bookmarkStart w:id="7" w:name="_Hlk131960579"/>
      <w:r w:rsidR="00046CA1" w:rsidRPr="00F37FC5">
        <w:rPr>
          <w:lang w:val="uk-UA"/>
        </w:rPr>
        <w:t>3,94031</w:t>
      </w:r>
      <w:bookmarkEnd w:id="7"/>
      <w:r w:rsidR="00046CA1">
        <w:rPr>
          <w:lang w:val="uk-UA"/>
        </w:rPr>
        <w:t xml:space="preserve"> </w:t>
      </w:r>
      <w:r w:rsidRPr="00B61AA5">
        <w:rPr>
          <w:lang w:val="uk-UA"/>
        </w:rPr>
        <w:t xml:space="preserve">т/рік, оксиди азоту (оксид та діоксид азоту) у перерахунку на діоксид азоту - </w:t>
      </w:r>
      <w:r w:rsidR="00046CA1" w:rsidRPr="00046CA1">
        <w:rPr>
          <w:lang w:val="uk-UA"/>
        </w:rPr>
        <w:t>0,26082</w:t>
      </w:r>
      <w:r w:rsidR="00046CA1">
        <w:rPr>
          <w:lang w:val="uk-UA"/>
        </w:rPr>
        <w:t xml:space="preserve"> </w:t>
      </w:r>
      <w:r w:rsidRPr="00B61AA5">
        <w:rPr>
          <w:lang w:val="uk-UA"/>
        </w:rPr>
        <w:t>т/рік, азоту(1) оксид (N</w:t>
      </w:r>
      <w:r w:rsidRPr="00B61AA5">
        <w:rPr>
          <w:vertAlign w:val="subscript"/>
          <w:lang w:val="uk-UA"/>
        </w:rPr>
        <w:t>2</w:t>
      </w:r>
      <w:r w:rsidRPr="00B61AA5">
        <w:rPr>
          <w:lang w:val="uk-UA"/>
        </w:rPr>
        <w:t xml:space="preserve">O) - </w:t>
      </w:r>
      <w:r w:rsidR="00046CA1" w:rsidRPr="00046CA1">
        <w:rPr>
          <w:lang w:val="uk-UA"/>
        </w:rPr>
        <w:t>0,00926</w:t>
      </w:r>
      <w:r w:rsidR="00046CA1">
        <w:rPr>
          <w:lang w:val="uk-UA"/>
        </w:rPr>
        <w:t xml:space="preserve"> </w:t>
      </w:r>
      <w:r w:rsidRPr="00B61AA5">
        <w:rPr>
          <w:lang w:val="uk-UA"/>
        </w:rPr>
        <w:t xml:space="preserve">т/рік, </w:t>
      </w:r>
      <w:proofErr w:type="spellStart"/>
      <w:r w:rsidRPr="00B61AA5">
        <w:rPr>
          <w:lang w:val="uk-UA"/>
        </w:rPr>
        <w:t>етантіол</w:t>
      </w:r>
      <w:proofErr w:type="spellEnd"/>
      <w:r w:rsidR="00E02793">
        <w:rPr>
          <w:lang w:val="uk-UA"/>
        </w:rPr>
        <w:t xml:space="preserve"> </w:t>
      </w:r>
      <w:r w:rsidRPr="00B61AA5">
        <w:rPr>
          <w:lang w:val="uk-UA"/>
        </w:rPr>
        <w:t>(</w:t>
      </w:r>
      <w:proofErr w:type="spellStart"/>
      <w:r w:rsidRPr="00B61AA5">
        <w:rPr>
          <w:lang w:val="uk-UA"/>
        </w:rPr>
        <w:t>етилмеркаптан</w:t>
      </w:r>
      <w:proofErr w:type="spellEnd"/>
      <w:r w:rsidRPr="00B61AA5">
        <w:rPr>
          <w:lang w:val="uk-UA"/>
        </w:rPr>
        <w:t xml:space="preserve">) – </w:t>
      </w:r>
      <w:r w:rsidR="00046CA1">
        <w:rPr>
          <w:lang w:val="uk-UA"/>
        </w:rPr>
        <w:t>5,91</w:t>
      </w:r>
      <w:r w:rsidRPr="00B61AA5">
        <w:rPr>
          <w:lang w:val="uk-UA"/>
        </w:rPr>
        <w:t>×10</w:t>
      </w:r>
      <w:r w:rsidRPr="00B61AA5">
        <w:rPr>
          <w:vertAlign w:val="superscript"/>
          <w:lang w:val="uk-UA"/>
        </w:rPr>
        <w:t>-</w:t>
      </w:r>
      <w:r w:rsidR="00046CA1">
        <w:rPr>
          <w:vertAlign w:val="superscript"/>
          <w:lang w:val="uk-UA"/>
        </w:rPr>
        <w:t>8</w:t>
      </w:r>
      <w:r w:rsidRPr="00B61AA5">
        <w:rPr>
          <w:lang w:val="uk-UA"/>
        </w:rPr>
        <w:t xml:space="preserve"> т/рік</w:t>
      </w:r>
      <w:r w:rsidR="0027378F" w:rsidRPr="00614E53">
        <w:rPr>
          <w:lang w:val="uk-UA"/>
        </w:rPr>
        <w:t>, неметанові ле</w:t>
      </w:r>
      <w:r w:rsidR="00827C63">
        <w:rPr>
          <w:lang w:val="uk-UA"/>
        </w:rPr>
        <w:t>т</w:t>
      </w:r>
      <w:r w:rsidR="0027378F" w:rsidRPr="00614E53">
        <w:rPr>
          <w:lang w:val="uk-UA"/>
        </w:rPr>
        <w:t xml:space="preserve">кі органічні сполуки - </w:t>
      </w:r>
      <w:bookmarkStart w:id="8" w:name="_Hlk131960633"/>
      <w:r w:rsidR="0027378F" w:rsidRPr="0027378F">
        <w:rPr>
          <w:lang w:val="uk-UA"/>
        </w:rPr>
        <w:t>0,01786</w:t>
      </w:r>
      <w:bookmarkEnd w:id="8"/>
      <w:r w:rsidR="0027378F" w:rsidRPr="00614E53">
        <w:rPr>
          <w:lang w:val="uk-UA"/>
        </w:rPr>
        <w:t xml:space="preserve"> </w:t>
      </w:r>
      <w:r w:rsidR="0027378F" w:rsidRPr="00614E53">
        <w:rPr>
          <w:lang w:val="uk-UA"/>
        </w:rPr>
        <w:lastRenderedPageBreak/>
        <w:t>т/рік</w:t>
      </w:r>
      <w:r w:rsidRPr="00B61AA5">
        <w:rPr>
          <w:lang w:val="uk-UA"/>
        </w:rPr>
        <w:t xml:space="preserve">. Фактичні обсяги викидів забруднюючих речовин не </w:t>
      </w:r>
      <w:r w:rsidR="00B61AA5" w:rsidRPr="00B61AA5">
        <w:rPr>
          <w:lang w:val="uk-UA"/>
        </w:rPr>
        <w:t>пере</w:t>
      </w:r>
      <w:r w:rsidRPr="00B61AA5">
        <w:rPr>
          <w:lang w:val="uk-UA"/>
        </w:rPr>
        <w:t xml:space="preserve">вищують потенційні обсяги. За величинами потенційних обсягів викиду забруднюючих речовин об’єкт не підлягає взяттю на державний облік та відноситься до третьої групи. </w:t>
      </w:r>
    </w:p>
    <w:p w14:paraId="01D1C85E" w14:textId="77777777" w:rsidR="0070289D" w:rsidRPr="00B61AA5" w:rsidRDefault="0070289D" w:rsidP="0070289D">
      <w:pPr>
        <w:pStyle w:val="rvps2"/>
        <w:shd w:val="clear" w:color="auto" w:fill="FFFFFF"/>
        <w:spacing w:before="0" w:beforeAutospacing="0" w:after="0" w:afterAutospacing="0"/>
        <w:ind w:firstLine="851"/>
        <w:contextualSpacing/>
        <w:jc w:val="both"/>
        <w:rPr>
          <w:lang w:val="uk-UA"/>
        </w:rPr>
      </w:pPr>
      <w:bookmarkStart w:id="9" w:name="n122"/>
      <w:bookmarkEnd w:id="9"/>
      <w:r w:rsidRPr="00B61AA5">
        <w:rPr>
          <w:b/>
          <w:bCs/>
          <w:lang w:val="uk-UA"/>
        </w:rPr>
        <w:t>Заходи щодо впровадження найкращих існуючих технологій виробництва, що виконані або/та які потребують виконання:</w:t>
      </w:r>
      <w:r w:rsidRPr="00B61AA5">
        <w:rPr>
          <w:lang w:val="uk-UA"/>
        </w:rPr>
        <w:t xml:space="preserve"> не передбачено (об’єкт третьої групи).</w:t>
      </w:r>
    </w:p>
    <w:p w14:paraId="68006DF3" w14:textId="77777777" w:rsidR="0070289D" w:rsidRPr="00B61AA5" w:rsidRDefault="0070289D" w:rsidP="0070289D">
      <w:pPr>
        <w:pStyle w:val="rvps2"/>
        <w:shd w:val="clear" w:color="auto" w:fill="FFFFFF"/>
        <w:spacing w:before="0" w:beforeAutospacing="0" w:after="0" w:afterAutospacing="0"/>
        <w:ind w:firstLine="851"/>
        <w:contextualSpacing/>
        <w:jc w:val="both"/>
        <w:rPr>
          <w:lang w:val="uk-UA"/>
        </w:rPr>
      </w:pPr>
      <w:bookmarkStart w:id="10" w:name="n123"/>
      <w:bookmarkEnd w:id="10"/>
      <w:r w:rsidRPr="00B61AA5">
        <w:rPr>
          <w:b/>
          <w:bCs/>
          <w:lang w:val="uk-UA"/>
        </w:rPr>
        <w:t>Перелік заходів щодо скорочення викидів, що виконані або/та які потребують виконання:</w:t>
      </w:r>
      <w:r w:rsidRPr="00B61AA5">
        <w:rPr>
          <w:lang w:val="uk-UA"/>
        </w:rPr>
        <w:t xml:space="preserve"> не передбачено (об’єкт третьої групи).</w:t>
      </w:r>
    </w:p>
    <w:p w14:paraId="36CC646E" w14:textId="77777777" w:rsidR="00F37FC5" w:rsidRPr="000B719C" w:rsidRDefault="00F37FC5" w:rsidP="00F37FC5">
      <w:pPr>
        <w:suppressAutoHyphens/>
        <w:ind w:firstLine="851"/>
        <w:contextualSpacing/>
        <w:jc w:val="both"/>
        <w:rPr>
          <w:b/>
          <w:bCs/>
          <w:lang w:val="uk-UA"/>
        </w:rPr>
      </w:pPr>
      <w:bookmarkStart w:id="11" w:name="n124"/>
      <w:bookmarkEnd w:id="11"/>
      <w:r w:rsidRPr="000B719C">
        <w:rPr>
          <w:b/>
          <w:bCs/>
          <w:lang w:val="uk-UA"/>
        </w:rPr>
        <w:t xml:space="preserve">Дотримання виконання природоохоронних заходів щодо скорочення викидів:  </w:t>
      </w:r>
      <w:r w:rsidRPr="000B719C">
        <w:rPr>
          <w:lang w:val="uk-UA"/>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передбачені</w:t>
      </w:r>
    </w:p>
    <w:p w14:paraId="5A35A275" w14:textId="6EBCCB06" w:rsidR="00F37FC5" w:rsidRPr="000B719C" w:rsidRDefault="00F37FC5" w:rsidP="00F37FC5">
      <w:pPr>
        <w:pStyle w:val="rvps2"/>
        <w:shd w:val="clear" w:color="auto" w:fill="FFFFFF"/>
        <w:spacing w:before="0" w:beforeAutospacing="0" w:after="0" w:afterAutospacing="0"/>
        <w:ind w:firstLine="851"/>
        <w:contextualSpacing/>
        <w:jc w:val="both"/>
        <w:rPr>
          <w:lang w:val="uk-UA"/>
        </w:rPr>
      </w:pPr>
      <w:r w:rsidRPr="000B719C">
        <w:rPr>
          <w:lang w:val="uk-UA"/>
        </w:rPr>
        <w:t xml:space="preserve">На виконання вимог санітарного законодавства, відповідно до п.5.7 та 5.9 ДСП 173-96, </w:t>
      </w:r>
      <w:r w:rsidRPr="00E7054D">
        <w:rPr>
          <w:i/>
          <w:iCs/>
          <w:lang w:val="uk-UA"/>
        </w:rPr>
        <w:t>згідно з висновком державної санітарно-епідеміологічної експертизи №12.2-18-4/</w:t>
      </w:r>
      <w:r w:rsidRPr="00F37FC5">
        <w:rPr>
          <w:i/>
          <w:iCs/>
          <w:lang w:val="uk-UA"/>
        </w:rPr>
        <w:t>11022</w:t>
      </w:r>
      <w:r w:rsidRPr="00E7054D">
        <w:rPr>
          <w:i/>
          <w:iCs/>
          <w:lang w:val="uk-UA"/>
        </w:rPr>
        <w:t xml:space="preserve"> від 0</w:t>
      </w:r>
      <w:r>
        <w:rPr>
          <w:i/>
          <w:iCs/>
          <w:lang w:val="uk-UA"/>
        </w:rPr>
        <w:t>4</w:t>
      </w:r>
      <w:r w:rsidRPr="00E7054D">
        <w:rPr>
          <w:i/>
          <w:iCs/>
          <w:lang w:val="uk-UA"/>
        </w:rPr>
        <w:t>.08.2023 р</w:t>
      </w:r>
      <w:r w:rsidRPr="000B719C">
        <w:rPr>
          <w:lang w:val="uk-UA"/>
        </w:rPr>
        <w:t xml:space="preserve"> </w:t>
      </w:r>
      <w:r w:rsidRPr="00F37FC5">
        <w:rPr>
          <w:lang w:val="uk-UA"/>
        </w:rPr>
        <w:t xml:space="preserve">для ГРС </w:t>
      </w:r>
      <w:proofErr w:type="spellStart"/>
      <w:r w:rsidRPr="00F37FC5">
        <w:rPr>
          <w:lang w:val="uk-UA"/>
        </w:rPr>
        <w:t>Буцинь</w:t>
      </w:r>
      <w:proofErr w:type="spellEnd"/>
      <w:r w:rsidRPr="00F37FC5">
        <w:rPr>
          <w:lang w:val="uk-UA"/>
        </w:rPr>
        <w:t xml:space="preserve"> встановлено санітарно-захисну зону від межі підприємства в розмірі 145 м в південно-західному напрямку, 175 м в західному напрямку, 194 м в північно-західному напрямку та нормативним розміром 300 м у всіх інших напрямках.</w:t>
      </w:r>
    </w:p>
    <w:p w14:paraId="56A63BD1" w14:textId="77777777" w:rsidR="00F37FC5" w:rsidRPr="000B719C" w:rsidRDefault="00F37FC5" w:rsidP="00F37FC5">
      <w:pPr>
        <w:pStyle w:val="rvps2"/>
        <w:shd w:val="clear" w:color="auto" w:fill="FFFFFF"/>
        <w:spacing w:before="0" w:beforeAutospacing="0" w:after="0" w:afterAutospacing="0"/>
        <w:ind w:firstLine="851"/>
        <w:contextualSpacing/>
        <w:jc w:val="both"/>
        <w:rPr>
          <w:lang w:val="uk-UA"/>
        </w:rPr>
      </w:pPr>
      <w:r w:rsidRPr="000B719C">
        <w:rPr>
          <w:lang w:val="uk-UA"/>
        </w:rPr>
        <w:t>Суб’єкт господарювання зобов’язується дотримуватися природоохоронних заходів у відповідності до вимог статті 10 Закону України «Про охорону атмосферного повітря».</w:t>
      </w:r>
    </w:p>
    <w:p w14:paraId="3413158C" w14:textId="77777777" w:rsidR="0070289D" w:rsidRPr="00B61AA5" w:rsidRDefault="0070289D" w:rsidP="00F37FC5">
      <w:pPr>
        <w:suppressAutoHyphens/>
        <w:ind w:firstLine="851"/>
        <w:contextualSpacing/>
        <w:jc w:val="both"/>
        <w:rPr>
          <w:b/>
          <w:bCs/>
          <w:lang w:val="uk-UA"/>
        </w:rPr>
      </w:pPr>
      <w:r w:rsidRPr="00B61AA5">
        <w:rPr>
          <w:b/>
          <w:bCs/>
          <w:lang w:val="uk-UA"/>
        </w:rPr>
        <w:t xml:space="preserve">Відповідність пропозицій щодо дозволених обсягів викидів законодавству: </w:t>
      </w:r>
      <w:r w:rsidRPr="00B61AA5">
        <w:rPr>
          <w:lang w:val="uk-UA"/>
        </w:rPr>
        <w:t>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відповідають вимогам чинного природоохоронного законодавства. Для неорганізованих стаціонарних джерел викиду нормативи граничнодопустимих викидів забруднюючих речовин не встановлюються, регулювання здійснюється за вимогами дозволу.</w:t>
      </w:r>
    </w:p>
    <w:p w14:paraId="5B2E6FDA" w14:textId="60D5DEA9" w:rsidR="0070289D" w:rsidRPr="006D4EBF" w:rsidRDefault="0070289D" w:rsidP="00F37FC5">
      <w:pPr>
        <w:pStyle w:val="rvps2"/>
        <w:shd w:val="clear" w:color="auto" w:fill="FFFFFF"/>
        <w:spacing w:before="0" w:beforeAutospacing="0" w:after="0" w:afterAutospacing="0"/>
        <w:ind w:firstLine="851"/>
        <w:contextualSpacing/>
        <w:jc w:val="both"/>
        <w:rPr>
          <w:b/>
          <w:bCs/>
          <w:lang w:val="uk-UA"/>
        </w:rPr>
      </w:pPr>
      <w:r w:rsidRPr="006D4EBF">
        <w:rPr>
          <w:b/>
          <w:bCs/>
          <w:lang w:val="uk-UA"/>
        </w:rPr>
        <w:t xml:space="preserve">Зауваження та пропозиції громадськості щодо наміру ТОВ «Оператор ГТС України» отримати дозвіл на викиди забруднюючих речовин стаціонарними джерелами ГРС </w:t>
      </w:r>
      <w:proofErr w:type="spellStart"/>
      <w:r w:rsidR="00CD1529" w:rsidRPr="006D4EBF">
        <w:rPr>
          <w:b/>
          <w:bCs/>
          <w:lang w:val="uk-UA"/>
        </w:rPr>
        <w:t>Буцинь</w:t>
      </w:r>
      <w:proofErr w:type="spellEnd"/>
      <w:r w:rsidRPr="006D4EBF">
        <w:rPr>
          <w:b/>
          <w:bCs/>
          <w:lang w:val="uk-UA"/>
        </w:rPr>
        <w:t xml:space="preserve"> </w:t>
      </w:r>
      <w:proofErr w:type="spellStart"/>
      <w:r w:rsidRPr="006D4EBF">
        <w:rPr>
          <w:b/>
          <w:bCs/>
          <w:lang w:val="uk-UA"/>
        </w:rPr>
        <w:t>Бібрського</w:t>
      </w:r>
      <w:proofErr w:type="spellEnd"/>
      <w:r w:rsidRPr="006D4EBF">
        <w:rPr>
          <w:b/>
          <w:bCs/>
          <w:lang w:val="uk-UA"/>
        </w:rPr>
        <w:t xml:space="preserve"> ЛВУМГ протягом 30 календарних днів з дня опублікування цього повідомлення проводить </w:t>
      </w:r>
      <w:r w:rsidR="00CD1529" w:rsidRPr="006D4EBF">
        <w:rPr>
          <w:b/>
          <w:bCs/>
          <w:lang w:val="uk-UA"/>
        </w:rPr>
        <w:t>Волинська</w:t>
      </w:r>
      <w:r w:rsidRPr="006D4EBF">
        <w:rPr>
          <w:b/>
          <w:bCs/>
          <w:lang w:val="uk-UA"/>
        </w:rPr>
        <w:t xml:space="preserve"> обласна військова адміністрація </w:t>
      </w:r>
      <w:r w:rsidR="006D4EBF" w:rsidRPr="006D4EBF">
        <w:rPr>
          <w:b/>
          <w:bCs/>
          <w:lang w:val="uk-UA"/>
        </w:rPr>
        <w:t xml:space="preserve">(Управління екології та природних ресурсів Волинської обласної військової адміністрації) </w:t>
      </w:r>
      <w:r w:rsidRPr="006D4EBF">
        <w:rPr>
          <w:b/>
          <w:bCs/>
          <w:lang w:val="uk-UA"/>
        </w:rPr>
        <w:t xml:space="preserve">за </w:t>
      </w:r>
      <w:proofErr w:type="spellStart"/>
      <w:r w:rsidRPr="006D4EBF">
        <w:rPr>
          <w:b/>
          <w:bCs/>
          <w:lang w:val="uk-UA"/>
        </w:rPr>
        <w:t>адресою</w:t>
      </w:r>
      <w:proofErr w:type="spellEnd"/>
      <w:r w:rsidRPr="006D4EBF">
        <w:rPr>
          <w:b/>
          <w:bCs/>
          <w:lang w:val="uk-UA"/>
        </w:rPr>
        <w:t xml:space="preserve">: </w:t>
      </w:r>
      <w:r w:rsidR="00CD1529" w:rsidRPr="006D4EBF">
        <w:rPr>
          <w:b/>
          <w:bCs/>
          <w:lang w:val="uk-UA"/>
        </w:rPr>
        <w:t>Україна, 43027, Волинська область, місто Луцьк, Київський Майдан, 9</w:t>
      </w:r>
      <w:r w:rsidRPr="006D4EBF">
        <w:rPr>
          <w:b/>
          <w:bCs/>
          <w:lang w:val="uk-UA"/>
        </w:rPr>
        <w:t xml:space="preserve">; </w:t>
      </w:r>
      <w:proofErr w:type="spellStart"/>
      <w:r w:rsidRPr="006D4EBF">
        <w:rPr>
          <w:b/>
          <w:bCs/>
          <w:lang w:val="uk-UA"/>
        </w:rPr>
        <w:t>тел</w:t>
      </w:r>
      <w:proofErr w:type="spellEnd"/>
      <w:r w:rsidRPr="006D4EBF">
        <w:rPr>
          <w:b/>
          <w:bCs/>
          <w:lang w:val="uk-UA"/>
        </w:rPr>
        <w:t xml:space="preserve">: </w:t>
      </w:r>
      <w:r w:rsidR="00CD1529" w:rsidRPr="006D4EBF">
        <w:rPr>
          <w:b/>
          <w:bCs/>
          <w:lang w:val="uk-UA"/>
        </w:rPr>
        <w:t>(0332) 77-82-17</w:t>
      </w:r>
      <w:r w:rsidRPr="006D4EBF">
        <w:rPr>
          <w:b/>
          <w:bCs/>
          <w:lang w:val="uk-UA"/>
        </w:rPr>
        <w:t>; е-</w:t>
      </w:r>
      <w:proofErr w:type="spellStart"/>
      <w:r w:rsidRPr="006D4EBF">
        <w:rPr>
          <w:b/>
          <w:bCs/>
          <w:lang w:val="uk-UA"/>
        </w:rPr>
        <w:t>mail</w:t>
      </w:r>
      <w:proofErr w:type="spellEnd"/>
      <w:r w:rsidRPr="006D4EBF">
        <w:rPr>
          <w:b/>
          <w:bCs/>
          <w:lang w:val="uk-UA"/>
        </w:rPr>
        <w:t xml:space="preserve">: </w:t>
      </w:r>
      <w:hyperlink r:id="rId5" w:history="1">
        <w:r w:rsidR="006D4EBF" w:rsidRPr="0027378F">
          <w:rPr>
            <w:rStyle w:val="a3"/>
            <w:b/>
            <w:bCs/>
            <w:color w:val="auto"/>
            <w:u w:val="none"/>
            <w:lang w:val="uk-UA"/>
          </w:rPr>
          <w:t>post@voladm.gov.ua</w:t>
        </w:r>
      </w:hyperlink>
      <w:r w:rsidR="006D4EBF" w:rsidRPr="0027378F">
        <w:rPr>
          <w:b/>
          <w:bCs/>
          <w:lang w:val="uk-UA"/>
        </w:rPr>
        <w:t xml:space="preserve"> </w:t>
      </w:r>
      <w:r w:rsidR="006D4EBF" w:rsidRPr="006D4EBF">
        <w:rPr>
          <w:b/>
          <w:bCs/>
          <w:lang w:val="uk-UA"/>
        </w:rPr>
        <w:t>(</w:t>
      </w:r>
      <w:proofErr w:type="spellStart"/>
      <w:r w:rsidR="006D4EBF" w:rsidRPr="006D4EBF">
        <w:rPr>
          <w:b/>
          <w:bCs/>
          <w:lang w:val="uk-UA"/>
        </w:rPr>
        <w:t>тел</w:t>
      </w:r>
      <w:proofErr w:type="spellEnd"/>
      <w:r w:rsidR="006D4EBF" w:rsidRPr="006D4EBF">
        <w:rPr>
          <w:b/>
          <w:bCs/>
          <w:lang w:val="uk-UA"/>
        </w:rPr>
        <w:t>: (0332) 74-01-32; е-</w:t>
      </w:r>
      <w:proofErr w:type="spellStart"/>
      <w:r w:rsidR="006D4EBF" w:rsidRPr="006D4EBF">
        <w:rPr>
          <w:b/>
          <w:bCs/>
          <w:lang w:val="uk-UA"/>
        </w:rPr>
        <w:t>mail</w:t>
      </w:r>
      <w:proofErr w:type="spellEnd"/>
      <w:r w:rsidR="006D4EBF" w:rsidRPr="006D4EBF">
        <w:rPr>
          <w:b/>
          <w:bCs/>
          <w:lang w:val="uk-UA"/>
        </w:rPr>
        <w:t>: eco@voleco.voladm.gov.ua)</w:t>
      </w:r>
      <w:r w:rsidRPr="006D4EBF">
        <w:rPr>
          <w:b/>
          <w:bCs/>
          <w:lang w:val="uk-UA"/>
        </w:rPr>
        <w:t>.</w:t>
      </w:r>
    </w:p>
    <w:bookmarkEnd w:id="0"/>
    <w:p w14:paraId="1F85EFCA" w14:textId="77777777" w:rsidR="00A11B8C" w:rsidRPr="00B61AA5" w:rsidRDefault="00A11B8C" w:rsidP="0070289D">
      <w:pPr>
        <w:rPr>
          <w:lang w:val="uk-UA"/>
        </w:rPr>
      </w:pPr>
    </w:p>
    <w:sectPr w:rsidR="00A11B8C" w:rsidRPr="00B61A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53"/>
    <w:rsid w:val="00046CA1"/>
    <w:rsid w:val="001246F4"/>
    <w:rsid w:val="001D7354"/>
    <w:rsid w:val="0027378F"/>
    <w:rsid w:val="002D2954"/>
    <w:rsid w:val="003D51C6"/>
    <w:rsid w:val="00614E53"/>
    <w:rsid w:val="006D4EBF"/>
    <w:rsid w:val="0070289D"/>
    <w:rsid w:val="008248B7"/>
    <w:rsid w:val="00827C63"/>
    <w:rsid w:val="00917EC2"/>
    <w:rsid w:val="00A11B8C"/>
    <w:rsid w:val="00B61AA5"/>
    <w:rsid w:val="00CD1529"/>
    <w:rsid w:val="00E02793"/>
    <w:rsid w:val="00F37FC5"/>
    <w:rsid w:val="00FA54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F048"/>
  <w15:chartTrackingRefBased/>
  <w15:docId w15:val="{F7B2BFC3-6F3A-4989-8A9A-0CE88226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E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14E53"/>
    <w:pPr>
      <w:spacing w:before="100" w:beforeAutospacing="1" w:after="100" w:afterAutospacing="1"/>
    </w:pPr>
  </w:style>
  <w:style w:type="character" w:styleId="a3">
    <w:name w:val="Hyperlink"/>
    <w:basedOn w:val="a0"/>
    <w:uiPriority w:val="99"/>
    <w:unhideWhenUsed/>
    <w:rsid w:val="001D7354"/>
    <w:rPr>
      <w:color w:val="0563C1" w:themeColor="hyperlink"/>
      <w:u w:val="single"/>
    </w:rPr>
  </w:style>
  <w:style w:type="character" w:styleId="a4">
    <w:name w:val="Unresolved Mention"/>
    <w:basedOn w:val="a0"/>
    <w:uiPriority w:val="99"/>
    <w:semiHidden/>
    <w:unhideWhenUsed/>
    <w:rsid w:val="001D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3707">
      <w:bodyDiv w:val="1"/>
      <w:marLeft w:val="0"/>
      <w:marRight w:val="0"/>
      <w:marTop w:val="0"/>
      <w:marBottom w:val="0"/>
      <w:divBdr>
        <w:top w:val="none" w:sz="0" w:space="0" w:color="auto"/>
        <w:left w:val="none" w:sz="0" w:space="0" w:color="auto"/>
        <w:bottom w:val="none" w:sz="0" w:space="0" w:color="auto"/>
        <w:right w:val="none" w:sz="0" w:space="0" w:color="auto"/>
      </w:divBdr>
    </w:div>
    <w:div w:id="309405378">
      <w:bodyDiv w:val="1"/>
      <w:marLeft w:val="0"/>
      <w:marRight w:val="0"/>
      <w:marTop w:val="0"/>
      <w:marBottom w:val="0"/>
      <w:divBdr>
        <w:top w:val="none" w:sz="0" w:space="0" w:color="auto"/>
        <w:left w:val="none" w:sz="0" w:space="0" w:color="auto"/>
        <w:bottom w:val="none" w:sz="0" w:space="0" w:color="auto"/>
        <w:right w:val="none" w:sz="0" w:space="0" w:color="auto"/>
      </w:divBdr>
    </w:div>
    <w:div w:id="411512913">
      <w:bodyDiv w:val="1"/>
      <w:marLeft w:val="0"/>
      <w:marRight w:val="0"/>
      <w:marTop w:val="0"/>
      <w:marBottom w:val="0"/>
      <w:divBdr>
        <w:top w:val="none" w:sz="0" w:space="0" w:color="auto"/>
        <w:left w:val="none" w:sz="0" w:space="0" w:color="auto"/>
        <w:bottom w:val="none" w:sz="0" w:space="0" w:color="auto"/>
        <w:right w:val="none" w:sz="0" w:space="0" w:color="auto"/>
      </w:divBdr>
    </w:div>
    <w:div w:id="425885370">
      <w:bodyDiv w:val="1"/>
      <w:marLeft w:val="0"/>
      <w:marRight w:val="0"/>
      <w:marTop w:val="0"/>
      <w:marBottom w:val="0"/>
      <w:divBdr>
        <w:top w:val="none" w:sz="0" w:space="0" w:color="auto"/>
        <w:left w:val="none" w:sz="0" w:space="0" w:color="auto"/>
        <w:bottom w:val="none" w:sz="0" w:space="0" w:color="auto"/>
        <w:right w:val="none" w:sz="0" w:space="0" w:color="auto"/>
      </w:divBdr>
    </w:div>
    <w:div w:id="435449240">
      <w:bodyDiv w:val="1"/>
      <w:marLeft w:val="0"/>
      <w:marRight w:val="0"/>
      <w:marTop w:val="0"/>
      <w:marBottom w:val="0"/>
      <w:divBdr>
        <w:top w:val="none" w:sz="0" w:space="0" w:color="auto"/>
        <w:left w:val="none" w:sz="0" w:space="0" w:color="auto"/>
        <w:bottom w:val="none" w:sz="0" w:space="0" w:color="auto"/>
        <w:right w:val="none" w:sz="0" w:space="0" w:color="auto"/>
      </w:divBdr>
    </w:div>
    <w:div w:id="889536818">
      <w:bodyDiv w:val="1"/>
      <w:marLeft w:val="0"/>
      <w:marRight w:val="0"/>
      <w:marTop w:val="0"/>
      <w:marBottom w:val="0"/>
      <w:divBdr>
        <w:top w:val="none" w:sz="0" w:space="0" w:color="auto"/>
        <w:left w:val="none" w:sz="0" w:space="0" w:color="auto"/>
        <w:bottom w:val="none" w:sz="0" w:space="0" w:color="auto"/>
        <w:right w:val="none" w:sz="0" w:space="0" w:color="auto"/>
      </w:divBdr>
    </w:div>
    <w:div w:id="1455176331">
      <w:bodyDiv w:val="1"/>
      <w:marLeft w:val="0"/>
      <w:marRight w:val="0"/>
      <w:marTop w:val="0"/>
      <w:marBottom w:val="0"/>
      <w:divBdr>
        <w:top w:val="none" w:sz="0" w:space="0" w:color="auto"/>
        <w:left w:val="none" w:sz="0" w:space="0" w:color="auto"/>
        <w:bottom w:val="none" w:sz="0" w:space="0" w:color="auto"/>
        <w:right w:val="none" w:sz="0" w:space="0" w:color="auto"/>
      </w:divBdr>
    </w:div>
    <w:div w:id="19289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t@voladm.gov.ua" TargetMode="External"/><Relationship Id="rId4" Type="http://schemas.openxmlformats.org/officeDocument/2006/relationships/hyperlink" Target="mailto:info@tsoua.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4140</Words>
  <Characters>2360</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Гайдіна</dc:creator>
  <cp:keywords/>
  <dc:description/>
  <cp:lastModifiedBy>Альона Гайдіна</cp:lastModifiedBy>
  <cp:revision>16</cp:revision>
  <cp:lastPrinted>2023-08-15T07:26:00Z</cp:lastPrinted>
  <dcterms:created xsi:type="dcterms:W3CDTF">2023-04-03T12:32:00Z</dcterms:created>
  <dcterms:modified xsi:type="dcterms:W3CDTF">2023-08-15T07:53:00Z</dcterms:modified>
</cp:coreProperties>
</file>