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ind w:firstLine="851"/>
        <w:contextualSpacing/>
        <w:jc w:val="center"/>
        <w:rPr>
          <w:b/>
          <w:b/>
          <w:bCs/>
          <w:color w:val="000000"/>
          <w:lang w:val="uk-UA"/>
        </w:rPr>
      </w:pPr>
      <w:r>
        <w:rPr>
          <w:b/>
          <w:bCs/>
          <w:color w:val="000000"/>
          <w:lang w:val="uk-UA"/>
        </w:rPr>
        <w:t xml:space="preserve">Повідомлення про намір </w:t>
      </w:r>
      <w:r>
        <w:rPr>
          <w:b/>
          <w:bCs/>
          <w:color w:val="000000"/>
        </w:rPr>
        <w:t>ТОВ «Кроноспан УА»</w:t>
      </w:r>
    </w:p>
    <w:p>
      <w:pPr>
        <w:pStyle w:val="Normal"/>
        <w:spacing w:before="0" w:after="0"/>
        <w:ind w:firstLine="851"/>
        <w:contextualSpacing/>
        <w:jc w:val="center"/>
        <w:rPr>
          <w:b/>
          <w:b/>
          <w:bCs/>
          <w:color w:val="000000"/>
          <w:lang w:val="uk-UA"/>
        </w:rPr>
      </w:pPr>
      <w:r>
        <w:rPr>
          <w:b/>
          <w:bCs/>
          <w:color w:val="000000"/>
          <w:lang w:val="uk-UA"/>
        </w:rPr>
        <w:t xml:space="preserve">отримати дозвіл на викиди забруднюючих речовин стаціонарними джерелами  </w:t>
      </w:r>
    </w:p>
    <w:p>
      <w:pPr>
        <w:pStyle w:val="Rvps2"/>
        <w:shd w:val="clear" w:color="auto" w:fill="FFFFFF"/>
        <w:spacing w:before="280" w:after="280"/>
        <w:ind w:firstLine="709"/>
        <w:contextualSpacing/>
        <w:jc w:val="both"/>
        <w:rPr>
          <w:lang w:val="uk-UA"/>
        </w:rPr>
      </w:pPr>
      <w:r>
        <w:rPr>
          <w:b/>
          <w:bCs/>
          <w:color w:val="000000"/>
          <w:lang w:val="uk-UA"/>
        </w:rPr>
        <w:t>Повне та скорочене найменування суб’єкта господарювання:</w:t>
      </w:r>
      <w:r>
        <w:rPr>
          <w:color w:val="000000"/>
          <w:lang w:val="uk-UA"/>
        </w:rPr>
        <w:t xml:space="preserve"> </w:t>
      </w:r>
      <w:r>
        <w:rPr/>
        <w:t>Товариство  з  обмеженою  відповідальністю</w:t>
      </w:r>
      <w:r>
        <w:rPr>
          <w:lang w:val="uk-UA"/>
        </w:rPr>
        <w:t xml:space="preserve"> </w:t>
      </w:r>
      <w:r>
        <w:rPr/>
        <w:t>«Кроноспан УА» (</w:t>
      </w:r>
      <w:r>
        <w:rPr>
          <w:lang w:val="uk-UA"/>
        </w:rPr>
        <w:t xml:space="preserve">скорочена назва - </w:t>
      </w:r>
      <w:r>
        <w:rPr/>
        <w:t>ТОВ «Кроноспан УА»)</w:t>
      </w:r>
      <w:r>
        <w:rPr>
          <w:lang w:val="uk-UA"/>
        </w:rPr>
        <w:t>.</w:t>
      </w:r>
    </w:p>
    <w:p>
      <w:pPr>
        <w:pStyle w:val="Rvps2"/>
        <w:shd w:val="clear" w:color="auto" w:fill="FFFFFF"/>
        <w:spacing w:beforeAutospacing="0" w:before="0" w:afterAutospacing="0" w:after="0"/>
        <w:ind w:firstLine="851"/>
        <w:contextualSpacing/>
        <w:jc w:val="both"/>
        <w:rPr>
          <w:color w:val="000000"/>
          <w:lang w:val="uk-UA"/>
        </w:rPr>
      </w:pPr>
      <w:r>
        <w:rPr>
          <w:b/>
          <w:bCs/>
          <w:color w:val="000000"/>
          <w:lang w:val="uk-UA"/>
        </w:rPr>
        <w:t>Ідентифікаційний код юридичної особи в Єдиному державному реєстрі підприємств та організацій України:</w:t>
      </w:r>
      <w:r>
        <w:rPr>
          <w:color w:val="000000"/>
          <w:lang w:val="uk-UA"/>
        </w:rPr>
        <w:t xml:space="preserve"> </w:t>
      </w:r>
      <w:r>
        <w:rPr>
          <w:lang w:val="uk-UA"/>
        </w:rPr>
        <w:t>33273907</w:t>
      </w:r>
      <w:r>
        <w:rPr>
          <w:color w:val="000000"/>
          <w:lang w:val="uk-UA"/>
        </w:rPr>
        <w:t>.</w:t>
      </w:r>
    </w:p>
    <w:p>
      <w:pPr>
        <w:pStyle w:val="Rvps2"/>
        <w:shd w:val="clear" w:color="auto" w:fill="FFFFFF"/>
        <w:spacing w:before="280" w:after="280"/>
        <w:ind w:firstLine="709"/>
        <w:contextualSpacing/>
        <w:jc w:val="both"/>
        <w:rPr>
          <w:bCs/>
          <w:color w:val="000000"/>
          <w:lang w:val="uk-UA"/>
        </w:rPr>
      </w:pPr>
      <w:r>
        <w:rPr>
          <w:b/>
          <w:bCs/>
          <w:color w:val="000000"/>
          <w:lang w:val="uk-UA"/>
        </w:rPr>
        <w:t xml:space="preserve">Місцезнаходження суб’єкта господарювання, </w:t>
      </w:r>
      <w:r>
        <w:rPr>
          <w:b/>
          <w:bCs/>
          <w:color w:val="000000"/>
        </w:rPr>
        <w:t>контактний номер телефону, адресу електронної пошти суб’єкта господарювання</w:t>
      </w:r>
      <w:r>
        <w:rPr>
          <w:b/>
          <w:bCs/>
          <w:color w:val="000000"/>
          <w:lang w:val="uk-UA"/>
        </w:rPr>
        <w:t>:</w:t>
      </w:r>
      <w:r>
        <w:rPr>
          <w:color w:val="000000"/>
          <w:lang w:val="uk-UA"/>
        </w:rPr>
        <w:t xml:space="preserve"> </w:t>
      </w:r>
      <w:bookmarkStart w:id="0" w:name="_Hlk172129582"/>
      <w:r>
        <w:rPr>
          <w:lang w:val="uk-UA"/>
        </w:rPr>
        <w:t xml:space="preserve">Україна, </w:t>
      </w:r>
      <w:r>
        <w:rPr>
          <w:bCs/>
          <w:color w:val="000000"/>
          <w:lang w:val="uk-UA"/>
        </w:rPr>
        <w:t>45400, Волинська область, Володимирський район,  місто Нововолинськ, вулиця Луцька, 20. Телефон</w:t>
      </w:r>
      <w:r>
        <w:rPr>
          <w:color w:val="000000"/>
          <w:lang w:val="uk-UA"/>
        </w:rPr>
        <w:t xml:space="preserve">: +38(03344) 43-6-12 ; e-mail:  </w:t>
      </w:r>
      <w:hyperlink r:id="rId2" w:tgtFrame="_blank">
        <w:bookmarkEnd w:id="0"/>
        <w:r>
          <w:rPr>
            <w:color w:val="000000"/>
            <w:lang w:val="uk-UA"/>
          </w:rPr>
          <w:t>office@kronospan.com.ua</w:t>
        </w:r>
      </w:hyperlink>
      <w:r>
        <w:rPr>
          <w:bCs/>
          <w:color w:val="000000"/>
          <w:lang w:val="uk-UA"/>
        </w:rPr>
        <w:t>.</w:t>
      </w:r>
    </w:p>
    <w:p>
      <w:pPr>
        <w:pStyle w:val="Rvps2"/>
        <w:shd w:val="clear" w:color="auto" w:fill="FFFFFF"/>
        <w:spacing w:beforeAutospacing="0" w:before="0" w:afterAutospacing="0" w:after="0"/>
        <w:ind w:firstLine="851"/>
        <w:contextualSpacing/>
        <w:jc w:val="both"/>
        <w:rPr>
          <w:rFonts w:eastAsia="Calibri"/>
          <w:kern w:val="2"/>
          <w:lang w:val="uk-UA" w:eastAsia="en-US"/>
        </w:rPr>
      </w:pPr>
      <w:r>
        <w:rPr>
          <w:b/>
          <w:bCs/>
          <w:color w:val="000000"/>
          <w:lang w:val="uk-UA"/>
        </w:rPr>
        <w:t>Місцезнаходження об’єкта:</w:t>
      </w:r>
      <w:r>
        <w:rPr>
          <w:color w:val="000000"/>
          <w:lang w:val="uk-UA"/>
        </w:rPr>
        <w:t xml:space="preserve"> </w:t>
      </w:r>
      <w:r>
        <w:rPr>
          <w:lang w:val="uk-UA"/>
        </w:rPr>
        <w:t xml:space="preserve">Україна, </w:t>
      </w:r>
      <w:r>
        <w:rPr>
          <w:bCs/>
          <w:lang w:val="uk-UA"/>
        </w:rPr>
        <w:t xml:space="preserve">45400, Волинська область, </w:t>
      </w:r>
      <w:r>
        <w:rPr>
          <w:bCs/>
          <w:color w:val="000000"/>
          <w:lang w:val="uk-UA"/>
        </w:rPr>
        <w:t xml:space="preserve">Володимирський район, </w:t>
      </w:r>
      <w:r>
        <w:rPr>
          <w:bCs/>
          <w:lang w:val="uk-UA"/>
        </w:rPr>
        <w:t>місто Нововолинськ, вулиця Луцька, 20.</w:t>
      </w:r>
    </w:p>
    <w:p>
      <w:pPr>
        <w:pStyle w:val="Rvps2"/>
        <w:shd w:val="clear" w:color="auto" w:fill="FFFFFF"/>
        <w:spacing w:beforeAutospacing="0" w:before="0" w:afterAutospacing="0" w:after="0"/>
        <w:ind w:firstLine="851"/>
        <w:contextualSpacing/>
        <w:jc w:val="both"/>
        <w:rPr>
          <w:color w:val="000000"/>
          <w:lang w:val="uk-UA"/>
        </w:rPr>
      </w:pPr>
      <w:r>
        <w:rPr>
          <w:b/>
          <w:bCs/>
          <w:color w:val="000000"/>
        </w:rPr>
        <w:t>Мета отримання дозволу на викиди:</w:t>
      </w:r>
      <w:r>
        <w:rPr>
          <w:color w:val="000000"/>
        </w:rPr>
        <w:t xml:space="preserve"> </w:t>
      </w:r>
      <w:r>
        <w:rPr>
          <w:color w:val="000000"/>
          <w:lang w:val="uk-UA"/>
        </w:rPr>
        <w:t xml:space="preserve">внесення змін до діючого дозволу на викиди </w:t>
      </w:r>
      <w:r>
        <w:rPr>
          <w:bCs/>
          <w:color w:val="000000"/>
          <w:lang w:val="az-Cyrl-AZ"/>
        </w:rPr>
        <w:t xml:space="preserve">забруднюючих речовин в атмосферне повітря стаціонарними джерелами </w:t>
      </w:r>
      <w:r>
        <w:rPr>
          <w:bCs/>
          <w:color w:val="000000"/>
          <w:lang w:val="uk-UA"/>
        </w:rPr>
        <w:t xml:space="preserve">№710700000-129  від 09.09.2020, </w:t>
      </w:r>
      <w:r>
        <w:rPr>
          <w:color w:val="000000"/>
          <w:lang w:val="uk-UA"/>
        </w:rPr>
        <w:t xml:space="preserve">з метою </w:t>
      </w:r>
      <w:r>
        <w:rPr>
          <w:color w:val="000000"/>
        </w:rPr>
        <w:t>дотримання вимог природоохоронного законодавства.</w:t>
      </w:r>
      <w:r>
        <w:rPr>
          <w:color w:val="000000"/>
          <w:lang w:val="uk-UA"/>
        </w:rPr>
        <w:t xml:space="preserve"> </w:t>
      </w:r>
      <w:bookmarkStart w:id="1" w:name="_Hlk169516198"/>
      <w:bookmarkEnd w:id="1"/>
    </w:p>
    <w:p>
      <w:pPr>
        <w:pStyle w:val="Rvps2"/>
        <w:shd w:val="clear" w:color="auto" w:fill="FFFFFF"/>
        <w:spacing w:beforeAutospacing="0" w:before="0" w:afterAutospacing="0" w:after="0"/>
        <w:ind w:firstLine="851"/>
        <w:contextualSpacing/>
        <w:jc w:val="both"/>
        <w:rPr>
          <w:lang w:val="uk-UA"/>
        </w:rPr>
      </w:pPr>
      <w:r>
        <w:rPr>
          <w:b/>
          <w:bCs/>
          <w:color w:val="000000"/>
          <w:lang w:val="uk-UA"/>
        </w:rPr>
        <w:t xml:space="preserve">Відомості про наявність висновку з оцінки впливу на довкілля: </w:t>
      </w:r>
      <w:bookmarkStart w:id="2" w:name="_Hlk199232850"/>
      <w:r>
        <w:rPr>
          <w:lang w:val="uk-UA"/>
        </w:rPr>
        <w:t>ТОВ «Кроноспан УА» є діючим суб’єктом господарювання</w:t>
      </w:r>
      <w:bookmarkEnd w:id="2"/>
      <w:r>
        <w:rPr>
          <w:lang w:val="uk-UA"/>
        </w:rPr>
        <w:t xml:space="preserve"> та має Висновок з оцінки впливу на довкілля № 2952/011/20187171268/2 від 28.11.2018р., виданий Управлінням екології та природних ресурсів Волинської ОДА. Передбачено встановлення</w:t>
      </w:r>
      <w:r>
        <w:rPr>
          <w:bCs/>
          <w:color w:val="000000"/>
          <w:lang w:val="uk-UA"/>
        </w:rPr>
        <w:t xml:space="preserve"> десяти генераторних установок «</w:t>
      </w:r>
      <w:r>
        <w:rPr>
          <w:bCs/>
        </w:rPr>
        <w:t>Jenbacher</w:t>
      </w:r>
      <w:r>
        <w:rPr>
          <w:bCs/>
          <w:lang w:val="uk-UA"/>
        </w:rPr>
        <w:t xml:space="preserve"> </w:t>
      </w:r>
      <w:r>
        <w:rPr>
          <w:bCs/>
        </w:rPr>
        <w:t>JGS</w:t>
      </w:r>
      <w:r>
        <w:rPr>
          <w:bCs/>
          <w:lang w:val="uk-UA"/>
        </w:rPr>
        <w:t xml:space="preserve"> 420GS -</w:t>
      </w:r>
      <w:r>
        <w:rPr>
          <w:bCs/>
          <w:lang w:val="en-US"/>
        </w:rPr>
        <w:t>N</w:t>
      </w:r>
      <w:r>
        <w:rPr>
          <w:bCs/>
          <w:lang w:val="uk-UA"/>
        </w:rPr>
        <w:t>.</w:t>
      </w:r>
      <w:r>
        <w:rPr>
          <w:bCs/>
          <w:lang w:val="en-US"/>
        </w:rPr>
        <w:t>L</w:t>
      </w:r>
      <w:r>
        <w:rPr>
          <w:bCs/>
          <w:lang w:val="uk-UA"/>
        </w:rPr>
        <w:t xml:space="preserve">», потужністю по 1,5 МВт </w:t>
      </w:r>
      <w:r>
        <w:rPr>
          <w:lang w:val="uk-UA"/>
        </w:rPr>
        <w:t>із допоміжним обладнанням. Відповідно до пункту 2, підпункту 1</w:t>
      </w:r>
      <w:r>
        <w:rPr>
          <w:vertAlign w:val="superscript"/>
          <w:lang w:val="uk-UA"/>
        </w:rPr>
        <w:t>2</w:t>
      </w:r>
      <w:r>
        <w:rPr>
          <w:lang w:val="uk-UA"/>
        </w:rPr>
        <w:t xml:space="preserve"> постанови КМУ від 13.12.2017 №1010 «Про затвердження критеріїв визначення планованої діяльності, яка не підлягає оцінці впливу на довкілля, та критеріїв визначення розширень і змін діяльності та об’єктів, які не підлягають оцінці впливу на довкілля», оцінці впливу на довкілля не підлягає планована діяльність з: «будівництва та/або розміщення у період воєнного стану газопоршневих та газотурбінних установок, зокрема когенераційних, блочно-модульних котелень, дизельних/бензинових та газових генераторів (потужністю від 1 МВт та більше), а також пов’язаних з ними мереж електро-, тепло-, газо-, водопостачання, вузлів обліку, іншого пов’язаного обладнання». </w:t>
      </w:r>
    </w:p>
    <w:p>
      <w:pPr>
        <w:pStyle w:val="Rvps2"/>
        <w:shd w:val="clear" w:color="auto" w:fill="FFFFFF"/>
        <w:spacing w:beforeAutospacing="0" w:before="0" w:afterAutospacing="0" w:after="0"/>
        <w:ind w:firstLine="851"/>
        <w:contextualSpacing/>
        <w:jc w:val="both"/>
        <w:rPr>
          <w:spacing w:val="40"/>
          <w:lang w:val="uk-UA"/>
        </w:rPr>
      </w:pPr>
      <w:r>
        <w:rPr>
          <w:b/>
          <w:bCs/>
          <w:color w:val="000000"/>
        </w:rPr>
        <w:t>Загальний</w:t>
      </w:r>
      <w:r>
        <w:rPr>
          <w:b/>
          <w:bCs/>
          <w:lang w:val="uk-UA"/>
        </w:rPr>
        <w:t xml:space="preserve"> опис об’єкта: </w:t>
      </w:r>
      <w:r>
        <w:rPr/>
        <w:t>ТОВ «Кроноспан УА» спеціалізується на виготовленні деревостружкових плит (ДСП) та орієнтованостружкової плити (OSB).</w:t>
      </w:r>
      <w:r>
        <w:rPr>
          <w:spacing w:val="40"/>
        </w:rPr>
        <w:t xml:space="preserve"> </w:t>
      </w:r>
      <w:r>
        <w:rPr/>
        <w:t xml:space="preserve">Новими джерелами забруднюючих речовин є </w:t>
      </w:r>
      <w:r>
        <w:rPr>
          <w:lang w:val="uk-UA"/>
        </w:rPr>
        <w:t xml:space="preserve">окремі димові </w:t>
      </w:r>
      <w:r>
        <w:rPr/>
        <w:t xml:space="preserve">труби </w:t>
      </w:r>
      <w:r>
        <w:rPr>
          <w:lang w:val="uk-UA"/>
        </w:rPr>
        <w:t xml:space="preserve">від десяти </w:t>
      </w:r>
      <w:r>
        <w:rPr>
          <w:bCs/>
          <w:color w:val="000000"/>
        </w:rPr>
        <w:t xml:space="preserve"> генераторних установок </w:t>
      </w:r>
      <w:r>
        <w:rPr>
          <w:bCs/>
          <w:color w:val="000000"/>
          <w:lang w:val="uk-UA"/>
        </w:rPr>
        <w:t>«</w:t>
      </w:r>
      <w:r>
        <w:rPr>
          <w:bCs/>
        </w:rPr>
        <w:t>Jenbacher JGS 420GS -</w:t>
      </w:r>
      <w:r>
        <w:rPr>
          <w:bCs/>
          <w:lang w:val="en-US"/>
        </w:rPr>
        <w:t>N</w:t>
      </w:r>
      <w:r>
        <w:rPr>
          <w:bCs/>
        </w:rPr>
        <w:t>.</w:t>
      </w:r>
      <w:r>
        <w:rPr>
          <w:bCs/>
          <w:lang w:val="en-US"/>
        </w:rPr>
        <w:t>L</w:t>
      </w:r>
      <w:r>
        <w:rPr>
          <w:bCs/>
          <w:lang w:val="uk-UA"/>
        </w:rPr>
        <w:t>».</w:t>
      </w:r>
    </w:p>
    <w:p>
      <w:pPr>
        <w:pStyle w:val="Rvps2"/>
        <w:shd w:val="clear" w:color="auto" w:fill="FFFFFF"/>
        <w:spacing w:beforeAutospacing="0" w:before="0" w:afterAutospacing="0" w:after="0"/>
        <w:ind w:firstLine="851"/>
        <w:contextualSpacing/>
        <w:jc w:val="both"/>
        <w:rPr>
          <w:lang w:val="uk-UA"/>
        </w:rPr>
      </w:pPr>
      <w:r>
        <w:rPr>
          <w:b/>
          <w:bCs/>
        </w:rPr>
        <w:t>Відом</w:t>
      </w:r>
      <w:r>
        <w:rPr>
          <w:b/>
          <w:bCs/>
          <w:shd w:fill="FFFFFF" w:val="clear"/>
        </w:rPr>
        <w:t xml:space="preserve">ості </w:t>
      </w:r>
      <w:r>
        <w:rPr>
          <w:b/>
          <w:bCs/>
          <w:color w:val="000000"/>
          <w:shd w:fill="FFFFFF" w:val="clear"/>
        </w:rPr>
        <w:t>щодо</w:t>
      </w:r>
      <w:r>
        <w:rPr>
          <w:b/>
          <w:bCs/>
          <w:shd w:fill="FFFFFF" w:val="clear"/>
        </w:rPr>
        <w:t xml:space="preserve"> видів та обсягів викидів. </w:t>
      </w:r>
      <w:r>
        <w:rPr>
          <w:shd w:fill="FFFFFF" w:val="clear"/>
        </w:rPr>
        <w:t xml:space="preserve">Загальні потенційні обсяги викидів забруднюючих речовин в атмосферне повітря від </w:t>
      </w:r>
      <w:r>
        <w:rPr>
          <w:bCs/>
          <w:color w:val="000000"/>
          <w:shd w:fill="FFFFFF" w:val="clear"/>
        </w:rPr>
        <w:t>десяти генераторних установок «</w:t>
      </w:r>
      <w:r>
        <w:rPr>
          <w:bCs/>
          <w:shd w:fill="FFFFFF" w:val="clear"/>
        </w:rPr>
        <w:t>Jenbacher JGS 420GS -</w:t>
      </w:r>
      <w:r>
        <w:rPr>
          <w:bCs/>
          <w:shd w:fill="FFFFFF" w:val="clear"/>
          <w:lang w:val="en-US"/>
        </w:rPr>
        <w:t>N</w:t>
      </w:r>
      <w:r>
        <w:rPr>
          <w:bCs/>
          <w:shd w:fill="FFFFFF" w:val="clear"/>
        </w:rPr>
        <w:t>.</w:t>
      </w:r>
      <w:r>
        <w:rPr>
          <w:bCs/>
          <w:shd w:fill="FFFFFF" w:val="clear"/>
          <w:lang w:val="en-US"/>
        </w:rPr>
        <w:t>L</w:t>
      </w:r>
      <w:r>
        <w:rPr>
          <w:bCs/>
          <w:shd w:fill="FFFFFF" w:val="clear"/>
        </w:rPr>
        <w:t xml:space="preserve">», </w:t>
      </w:r>
      <w:r>
        <w:rPr>
          <w:shd w:fill="FFFFFF" w:val="clear"/>
        </w:rPr>
        <w:t xml:space="preserve">становитимуть </w:t>
      </w:r>
      <w:r>
        <w:rPr>
          <w:color w:val="000000"/>
          <w:shd w:fill="FFFFFF" w:val="clear"/>
        </w:rPr>
        <w:t>64,580621</w:t>
      </w:r>
      <w:r>
        <w:rPr>
          <w:color w:val="000000"/>
          <w:shd w:fill="FFFFFF" w:val="clear"/>
          <w:lang w:val="uk-UA"/>
        </w:rPr>
        <w:t xml:space="preserve"> </w:t>
      </w:r>
      <w:r>
        <w:rPr>
          <w:shd w:fill="FFFFFF" w:val="clear"/>
        </w:rPr>
        <w:t>т/рік (без врахування вуглецю діоксиду) в тому числі:</w:t>
      </w:r>
      <w:r>
        <w:rPr>
          <w:color w:val="000000"/>
          <w:shd w:fill="FFFFFF" w:val="clear"/>
          <w:lang w:eastAsia="uk-UA"/>
        </w:rPr>
        <w:t xml:space="preserve"> </w:t>
      </w:r>
      <w:r>
        <w:rPr>
          <w:bCs/>
          <w:shd w:fill="FFFFFF" w:val="clear"/>
        </w:rPr>
        <w:t xml:space="preserve">оксид вуглецю – </w:t>
      </w:r>
      <w:r>
        <w:rPr>
          <w:color w:val="000000"/>
          <w:shd w:fill="FFFFFF" w:val="clear"/>
        </w:rPr>
        <w:t xml:space="preserve">36,057316 </w:t>
      </w:r>
      <w:r>
        <w:rPr>
          <w:shd w:fill="FFFFFF" w:val="clear"/>
        </w:rPr>
        <w:t>т/рік</w:t>
      </w:r>
      <w:r>
        <w:rPr>
          <w:color w:val="000000"/>
          <w:shd w:fill="FFFFFF" w:val="clear"/>
          <w:lang w:eastAsia="uk-UA"/>
        </w:rPr>
        <w:t xml:space="preserve">, </w:t>
      </w:r>
      <w:r>
        <w:rPr>
          <w:bCs/>
          <w:shd w:fill="FFFFFF" w:val="clear"/>
        </w:rPr>
        <w:t xml:space="preserve">метан – </w:t>
      </w:r>
      <w:r>
        <w:rPr>
          <w:color w:val="000000"/>
          <w:shd w:fill="FFFFFF" w:val="clear"/>
        </w:rPr>
        <w:t>0,73432</w:t>
      </w:r>
      <w:r>
        <w:rPr>
          <w:color w:val="000000"/>
          <w:shd w:fill="FFFFFF" w:val="clear"/>
          <w:lang w:val="uk-UA"/>
        </w:rPr>
        <w:t xml:space="preserve"> </w:t>
      </w:r>
      <w:r>
        <w:rPr>
          <w:shd w:fill="FFFFFF" w:val="clear"/>
        </w:rPr>
        <w:t>т/рік</w:t>
      </w:r>
      <w:r>
        <w:rPr>
          <w:color w:val="000000"/>
          <w:shd w:fill="FFFFFF" w:val="clear"/>
          <w:lang w:eastAsia="uk-UA"/>
        </w:rPr>
        <w:t xml:space="preserve">,  </w:t>
      </w:r>
      <w:r>
        <w:rPr>
          <w:bCs/>
          <w:shd w:fill="FFFFFF" w:val="clear"/>
        </w:rPr>
        <w:t>оксиди азоту (у перерахунку на діоксид азоту [NO + NО</w:t>
      </w:r>
      <w:r>
        <w:rPr>
          <w:bCs/>
          <w:shd w:fill="FFFFFF" w:val="clear"/>
          <w:vertAlign w:val="subscript"/>
        </w:rPr>
        <w:t>2</w:t>
      </w:r>
      <w:r>
        <w:rPr>
          <w:bCs/>
          <w:shd w:fill="FFFFFF" w:val="clear"/>
        </w:rPr>
        <w:t xml:space="preserve">]) -  </w:t>
      </w:r>
      <w:r>
        <w:rPr>
          <w:color w:val="000000"/>
          <w:shd w:fill="FFFFFF" w:val="clear"/>
        </w:rPr>
        <w:t>27,715555</w:t>
      </w:r>
      <w:r>
        <w:rPr>
          <w:color w:val="000000"/>
          <w:shd w:fill="FFFFFF" w:val="clear"/>
          <w:lang w:eastAsia="uk-UA"/>
        </w:rPr>
        <w:t xml:space="preserve"> </w:t>
      </w:r>
      <w:r>
        <w:rPr>
          <w:shd w:fill="FFFFFF" w:val="clear"/>
        </w:rPr>
        <w:t>т/рік</w:t>
      </w:r>
      <w:r>
        <w:rPr>
          <w:color w:val="000000"/>
          <w:shd w:fill="FFFFFF" w:val="clear"/>
          <w:lang w:eastAsia="uk-UA"/>
        </w:rPr>
        <w:t xml:space="preserve">, </w:t>
      </w:r>
      <w:r>
        <w:rPr>
          <w:bCs/>
          <w:shd w:fill="FFFFFF" w:val="clear"/>
        </w:rPr>
        <w:t xml:space="preserve">азоту (1) оксид [N2О] -  </w:t>
      </w:r>
      <w:r>
        <w:rPr>
          <w:color w:val="000000"/>
          <w:shd w:fill="FFFFFF" w:val="clear"/>
        </w:rPr>
        <w:t>0,07343</w:t>
      </w:r>
      <w:r>
        <w:rPr>
          <w:color w:val="000000"/>
          <w:shd w:fill="FFFFFF" w:val="clear"/>
          <w:lang w:val="uk-UA"/>
        </w:rPr>
        <w:t xml:space="preserve"> </w:t>
      </w:r>
      <w:r>
        <w:rPr>
          <w:shd w:fill="FFFFFF" w:val="clear"/>
        </w:rPr>
        <w:t>т/рік</w:t>
      </w:r>
      <w:r>
        <w:rPr>
          <w:color w:val="000000"/>
          <w:shd w:fill="FFFFFF" w:val="clear"/>
          <w:lang w:eastAsia="uk-UA"/>
        </w:rPr>
        <w:t>.</w:t>
      </w:r>
      <w:r>
        <w:rPr>
          <w:bCs/>
          <w:shd w:fill="FFFFFF" w:val="clear"/>
        </w:rPr>
        <w:t xml:space="preserve"> Також вуглецю діоксид у кількості </w:t>
      </w:r>
      <w:r>
        <w:rPr>
          <w:color w:val="000000"/>
          <w:shd w:fill="FFFFFF" w:val="clear"/>
        </w:rPr>
        <w:t xml:space="preserve">41026,4403 </w:t>
      </w:r>
      <w:r>
        <w:rPr>
          <w:shd w:fill="FFFFFF" w:val="clear"/>
        </w:rPr>
        <w:t>т/рік</w:t>
      </w:r>
      <w:r>
        <w:rPr>
          <w:color w:val="000000"/>
          <w:shd w:fill="FFFFFF" w:val="clear"/>
          <w:lang w:eastAsia="uk-UA"/>
        </w:rPr>
        <w:t xml:space="preserve">. </w:t>
      </w:r>
      <w:r>
        <w:rPr>
          <w:shd w:fill="FFFFFF" w:val="clear"/>
          <w:lang w:val="uk-UA"/>
        </w:rPr>
        <w:t>За величинами потенційних обсягів викиду забруднюючих речовин об’єкт підлягає взяттю на дер</w:t>
      </w:r>
      <w:r>
        <w:rPr>
          <w:lang w:val="uk-UA"/>
        </w:rPr>
        <w:t xml:space="preserve">жавний облік та відноситься до другої групи. </w:t>
      </w:r>
    </w:p>
    <w:p>
      <w:pPr>
        <w:pStyle w:val="Rvps2"/>
        <w:shd w:val="clear" w:color="auto" w:fill="FFFFFF"/>
        <w:spacing w:beforeAutospacing="0" w:before="0" w:afterAutospacing="0" w:after="0"/>
        <w:ind w:firstLine="851"/>
        <w:contextualSpacing/>
        <w:jc w:val="both"/>
        <w:rPr>
          <w:lang w:val="uk-UA"/>
        </w:rPr>
      </w:pPr>
      <w:r>
        <w:rPr>
          <w:b/>
          <w:bCs/>
        </w:rPr>
        <w:t xml:space="preserve">Заходи щодо </w:t>
      </w:r>
      <w:r>
        <w:rPr>
          <w:b/>
          <w:bCs/>
          <w:color w:val="000000"/>
        </w:rPr>
        <w:t>впровадження</w:t>
      </w:r>
      <w:r>
        <w:rPr>
          <w:b/>
          <w:bCs/>
        </w:rPr>
        <w:t xml:space="preserve"> найкращих існуючих технологій виробництва, що виконані або/та які потребують виконання:</w:t>
      </w:r>
      <w:r>
        <w:rPr/>
        <w:t xml:space="preserve"> не передбачено</w:t>
      </w:r>
      <w:r>
        <w:rPr>
          <w:lang w:val="uk-UA"/>
        </w:rPr>
        <w:t>.</w:t>
      </w:r>
    </w:p>
    <w:p>
      <w:pPr>
        <w:pStyle w:val="Rvps2"/>
        <w:shd w:val="clear" w:color="auto" w:fill="FFFFFF"/>
        <w:spacing w:beforeAutospacing="0" w:before="0" w:afterAutospacing="0" w:after="0"/>
        <w:ind w:firstLine="851"/>
        <w:contextualSpacing/>
        <w:jc w:val="both"/>
        <w:rPr>
          <w:lang w:val="uk-UA"/>
        </w:rPr>
      </w:pPr>
      <w:r>
        <w:rPr>
          <w:b/>
          <w:bCs/>
        </w:rPr>
        <w:t>Перелік заходів щодо скорочення викидів, що виконані або/та які потребують виконання:</w:t>
      </w:r>
      <w:r>
        <w:rPr/>
        <w:t xml:space="preserve"> не передбачено</w:t>
      </w:r>
      <w:r>
        <w:rPr>
          <w:lang w:val="uk-UA"/>
        </w:rPr>
        <w:t>.</w:t>
      </w:r>
    </w:p>
    <w:p>
      <w:pPr>
        <w:pStyle w:val="Rvps2"/>
        <w:shd w:val="clear" w:color="auto" w:fill="FFFFFF"/>
        <w:spacing w:beforeAutospacing="0" w:before="0" w:afterAutospacing="0" w:after="0"/>
        <w:ind w:firstLine="851"/>
        <w:contextualSpacing/>
        <w:jc w:val="both"/>
        <w:rPr>
          <w:b/>
          <w:b/>
          <w:bCs/>
          <w:lang w:val="uk-UA"/>
        </w:rPr>
      </w:pPr>
      <w:r>
        <w:rPr>
          <w:b/>
          <w:bCs/>
          <w:lang w:val="uk-UA"/>
        </w:rPr>
        <w:t xml:space="preserve">Дотримання виконання </w:t>
      </w:r>
      <w:r>
        <w:rPr>
          <w:b/>
          <w:bCs/>
        </w:rPr>
        <w:t>природоохоронних</w:t>
      </w:r>
      <w:r>
        <w:rPr>
          <w:b/>
          <w:bCs/>
          <w:lang w:val="uk-UA"/>
        </w:rPr>
        <w:t xml:space="preserve"> заходів щодо скорочення викидів:  </w:t>
      </w:r>
    </w:p>
    <w:p>
      <w:pPr>
        <w:pStyle w:val="Normal"/>
        <w:ind w:firstLine="709"/>
        <w:jc w:val="both"/>
        <w:rPr>
          <w:lang w:val="uk-UA"/>
        </w:rPr>
      </w:pPr>
      <w:r>
        <w:rPr>
          <w:lang w:val="uk-UA"/>
        </w:rPr>
        <w:t>Максимальні</w:t>
      </w:r>
      <w:r>
        <w:rPr>
          <w:color w:val="000000"/>
          <w:lang w:val="uk-UA"/>
        </w:rPr>
        <w:t xml:space="preserve"> приземні концентрації забруднюючих речовин на межі санітарно-захисної зони та житлової забудови не перевищують нормативів - «Державні медико-санітарні нормативи допустимого вмісту хімічних і біологічних речовин в атмосферному повітрі населених місць», затверджений наказом МОЗУ від 10.05.2024 №813, зареєстрованим у Мін’юсті 24.05.2024 за №763/42108. </w:t>
      </w:r>
      <w:r>
        <w:rPr>
          <w:lang w:val="uk-UA"/>
        </w:rPr>
        <w:t xml:space="preserve">Нормативна санітарно-захисна зона об’єкта витримана у повному обсязі. </w:t>
      </w:r>
      <w:r>
        <w:rPr>
          <w:color w:val="000000"/>
          <w:lang w:val="uk-UA"/>
        </w:rPr>
        <w:t>Заходи щодо скорочення викидів забруднюючих речовин не передбачені</w:t>
      </w:r>
      <w:r>
        <w:rPr>
          <w:lang w:val="uk-UA"/>
        </w:rPr>
        <w:t>. Підприємство відповідно до Постанови КМУ від 13 вересня 2022 р. № 1030 «Деякі питання ідентифікації об’єктів підвищеної небезпеки» не вважається об’єктом підвищеної небезпеки, тому заходи щодо охорони атмосферного повітря на випадок виникнення надзвичайних ситуацій техногенного та природного характеру, ліквідації наслідків забруднення атмосферного повітря не розробляються.</w:t>
      </w:r>
      <w:bookmarkStart w:id="3" w:name="_GoBack"/>
      <w:bookmarkEnd w:id="3"/>
    </w:p>
    <w:p>
      <w:pPr>
        <w:pStyle w:val="Rvps2"/>
        <w:shd w:val="clear" w:color="auto" w:fill="FFFFFF"/>
        <w:spacing w:beforeAutospacing="0" w:before="0" w:afterAutospacing="0" w:after="0"/>
        <w:ind w:firstLine="851"/>
        <w:contextualSpacing/>
        <w:jc w:val="both"/>
        <w:rPr>
          <w:b/>
          <w:b/>
          <w:bCs/>
          <w:lang w:val="uk-UA"/>
        </w:rPr>
      </w:pPr>
      <w:r>
        <w:rPr>
          <w:b/>
          <w:bCs/>
          <w:lang w:val="uk-UA"/>
        </w:rPr>
        <w:t xml:space="preserve">Відповідність пропозицій щодо дозволених обсягів викидів законодавству: </w:t>
      </w:r>
      <w:r>
        <w:rPr>
          <w:color w:val="000000"/>
          <w:lang w:val="uk-UA"/>
        </w:rPr>
        <w:t xml:space="preserve">Пропозиції щодо дозволених обсягів забруднюючих речовин, які віднесені до основних джерел викидів, відсутні, так як основні джерела викиду відсутні. Пропозиції щодо дозволених обсягів забруднюючих речовин, які віднесені до інших джерел викидів </w:t>
      </w:r>
      <w:r>
        <w:rPr>
          <w:lang w:val="uk-UA"/>
        </w:rPr>
        <w:t>відповідають вимогам чинного природоохоронного законодавства. Нові неорганізовані стаціонарні джерела викиду відсутні</w:t>
      </w:r>
      <w:r>
        <w:rPr>
          <w:color w:val="000000"/>
          <w:lang w:val="uk-UA"/>
        </w:rPr>
        <w:t>.</w:t>
      </w:r>
    </w:p>
    <w:p>
      <w:pPr>
        <w:pStyle w:val="Normal"/>
        <w:suppressAutoHyphens w:val="true"/>
        <w:spacing w:before="0" w:after="0"/>
        <w:ind w:firstLine="709"/>
        <w:contextualSpacing/>
        <w:jc w:val="both"/>
        <w:rPr>
          <w:color w:val="000000"/>
          <w:lang w:val="uk-UA"/>
        </w:rPr>
      </w:pPr>
      <w:r>
        <w:rPr>
          <w:rFonts w:eastAsia="Calibri"/>
          <w:b/>
          <w:bCs/>
          <w:color w:val="000000"/>
          <w:kern w:val="2"/>
          <w:lang w:val="uk-UA" w:eastAsia="en-US"/>
        </w:rPr>
        <w:t>Зауваження та пропозиції громадськості щодо наміру ТОВ «Кроноспан УА» отримати дозвіл на викиди забруднюючих речовин стаціонарними джерелами можуть надсилатися протягом 30 календарних днів з дня опублікування даного повідомлення до</w:t>
      </w:r>
      <w:r>
        <w:rPr>
          <w:b/>
          <w:bCs/>
          <w:color w:val="000000"/>
          <w:lang w:val="uk-UA"/>
        </w:rPr>
        <w:t xml:space="preserve"> Волинської  обласної військової адміністрації </w:t>
      </w:r>
      <w:r>
        <w:rPr>
          <w:b/>
          <w:bCs/>
          <w:color w:val="000000"/>
          <w:shd w:fill="FFFFFF" w:val="clear"/>
          <w:lang w:val="uk-UA"/>
        </w:rPr>
        <w:t>за адресою:</w:t>
      </w:r>
      <w:r>
        <w:rPr>
          <w:color w:val="000000"/>
          <w:shd w:fill="FFFFFF" w:val="clear"/>
          <w:lang w:val="uk-UA"/>
        </w:rPr>
        <w:t xml:space="preserve"> </w:t>
      </w:r>
      <w:r>
        <w:rPr>
          <w:b/>
          <w:bCs/>
          <w:color w:val="000000"/>
          <w:lang w:val="uk-UA"/>
        </w:rPr>
        <w:t>43027, м.</w:t>
      </w:r>
      <w:r>
        <w:rPr>
          <w:b/>
          <w:bCs/>
          <w:color w:val="000000"/>
          <w:lang w:val="en-US"/>
        </w:rPr>
        <w:t> </w:t>
      </w:r>
      <w:r>
        <w:rPr>
          <w:b/>
          <w:bCs/>
          <w:color w:val="000000"/>
          <w:lang w:val="uk-UA"/>
        </w:rPr>
        <w:t>Луцьк, Київський Майдан, 9. Телефон:+38 (0332) 77-82-17, е-</w:t>
      </w:r>
      <w:r>
        <w:rPr>
          <w:b/>
          <w:bCs/>
          <w:color w:val="000000"/>
        </w:rPr>
        <w:t>mail</w:t>
      </w:r>
      <w:r>
        <w:rPr>
          <w:b/>
          <w:bCs/>
          <w:color w:val="000000"/>
          <w:lang w:val="uk-UA"/>
        </w:rPr>
        <w:t>:</w:t>
      </w:r>
      <w:r>
        <w:rPr>
          <w:b/>
          <w:bCs/>
          <w:color w:val="000000"/>
        </w:rPr>
        <w:t> </w:t>
      </w:r>
      <w:r>
        <w:rPr>
          <w:b/>
        </w:rPr>
        <w:t>post</w:t>
      </w:r>
      <w:r>
        <w:rPr>
          <w:b/>
          <w:lang w:val="uk-UA"/>
        </w:rPr>
        <w:t>@</w:t>
      </w:r>
      <w:r>
        <w:rPr>
          <w:b/>
        </w:rPr>
        <w:t>voladm</w:t>
      </w:r>
      <w:r>
        <w:rPr>
          <w:b/>
          <w:lang w:val="uk-UA"/>
        </w:rPr>
        <w:t>.</w:t>
      </w:r>
      <w:r>
        <w:rPr>
          <w:b/>
        </w:rPr>
        <w:t>gov</w:t>
      </w:r>
      <w:r>
        <w:rPr>
          <w:b/>
          <w:lang w:val="uk-UA"/>
        </w:rPr>
        <w:t>.</w:t>
      </w:r>
      <w:r>
        <w:rPr>
          <w:b/>
        </w:rPr>
        <w:t>ua</w:t>
      </w:r>
      <w:r>
        <w:rPr>
          <w:b/>
          <w:bCs/>
          <w:color w:val="000000"/>
          <w:lang w:val="uk-UA"/>
        </w:rPr>
        <w:t>.</w:t>
      </w:r>
    </w:p>
    <w:p>
      <w:pPr>
        <w:pStyle w:val="Normal"/>
        <w:ind w:firstLine="851"/>
        <w:jc w:val="both"/>
        <w:rPr>
          <w:lang w:val="uk-UA"/>
        </w:rPr>
      </w:pPr>
      <w:r>
        <w:rPr>
          <w:lang w:val="uk-UA"/>
        </w:rPr>
      </w:r>
    </w:p>
    <w:p>
      <w:pPr>
        <w:pStyle w:val="Normal"/>
        <w:rPr>
          <w:lang w:val="uk-UA"/>
        </w:rPr>
      </w:pPr>
      <w:r>
        <w:rPr/>
      </w:r>
    </w:p>
    <w:sectPr>
      <w:type w:val="nextPage"/>
      <w:pgSz w:w="11906" w:h="16838"/>
      <w:pgMar w:left="1417" w:right="850" w:gutter="0" w:header="0" w:top="850" w:footer="0" w:bottom="8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uk-UA" w:eastAsia="en-US" w:bidi="ar-SA"/>
        <w14:ligatures w14:val="standardContextual"/>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a7b3b"/>
    <w:pPr>
      <w:widowControl/>
      <w:bidi w:val="0"/>
      <w:spacing w:lineRule="auto" w:line="240" w:before="0" w:after="0"/>
      <w:jc w:val="left"/>
    </w:pPr>
    <w:rPr>
      <w:rFonts w:ascii="Times New Roman" w:hAnsi="Times New Roman" w:eastAsia="Times New Roman" w:cs="Times New Roman"/>
      <w:color w:val="auto"/>
      <w:kern w:val="0"/>
      <w:sz w:val="24"/>
      <w:szCs w:val="24"/>
      <w:lang w:val="ru-RU" w:eastAsia="ru-RU" w:bidi="ar-SA"/>
      <w14:ligatures w14:val="none"/>
    </w:rPr>
  </w:style>
  <w:style w:type="character" w:styleId="DefaultParagraphFont" w:default="1">
    <w:name w:val="Default Paragraph Font"/>
    <w:uiPriority w:val="1"/>
    <w:semiHidden/>
    <w:unhideWhenUsed/>
    <w:qFormat/>
    <w:rPr/>
  </w:style>
  <w:style w:type="character" w:styleId="Style14">
    <w:name w:val="Гіперпосилання"/>
    <w:uiPriority w:val="99"/>
    <w:rsid w:val="00da7b3b"/>
    <w:rPr>
      <w:color w:val="0000FF"/>
      <w:u w:val="single"/>
    </w:rPr>
  </w:style>
  <w:style w:type="character" w:styleId="2" w:customStyle="1">
    <w:name w:val="Основной текст (2)_"/>
    <w:basedOn w:val="DefaultParagraphFont"/>
    <w:link w:val="20"/>
    <w:qFormat/>
    <w:rsid w:val="00da7b3b"/>
    <w:rPr>
      <w:rFonts w:ascii="Times New Roman" w:hAnsi="Times New Roman" w:eastAsia="Times New Roman" w:cs="Times New Roman"/>
      <w:sz w:val="28"/>
      <w:szCs w:val="28"/>
      <w:shd w:fill="FFFFFF" w:val="clear"/>
    </w:rPr>
  </w:style>
  <w:style w:type="character" w:styleId="BodyTextChar" w:customStyle="1">
    <w:name w:val="Body Text Char"/>
    <w:basedOn w:val="DefaultParagraphFont"/>
    <w:link w:val="BodyText"/>
    <w:uiPriority w:val="1"/>
    <w:qFormat/>
    <w:rsid w:val="00e212b6"/>
    <w:rPr>
      <w:rFonts w:ascii="Times New Roman" w:hAnsi="Times New Roman" w:eastAsia="Times New Roman" w:cs="Times New Roman"/>
      <w:kern w:val="0"/>
      <w:sz w:val="24"/>
      <w:szCs w:val="24"/>
      <w14:ligatures w14:val="none"/>
    </w:rPr>
  </w:style>
  <w:style w:type="character" w:styleId="Annotationreference">
    <w:name w:val="annotation reference"/>
    <w:basedOn w:val="DefaultParagraphFont"/>
    <w:uiPriority w:val="99"/>
    <w:semiHidden/>
    <w:unhideWhenUsed/>
    <w:qFormat/>
    <w:rsid w:val="00b67d7e"/>
    <w:rPr>
      <w:sz w:val="16"/>
      <w:szCs w:val="16"/>
    </w:rPr>
  </w:style>
  <w:style w:type="character" w:styleId="CommentTextChar" w:customStyle="1">
    <w:name w:val="Comment Text Char"/>
    <w:basedOn w:val="DefaultParagraphFont"/>
    <w:link w:val="CommentText"/>
    <w:uiPriority w:val="99"/>
    <w:qFormat/>
    <w:rsid w:val="00b67d7e"/>
    <w:rPr>
      <w:rFonts w:ascii="Times New Roman" w:hAnsi="Times New Roman" w:eastAsia="Times New Roman" w:cs="Times New Roman"/>
      <w:kern w:val="0"/>
      <w:sz w:val="20"/>
      <w:szCs w:val="20"/>
      <w:lang w:val="ru-RU" w:eastAsia="ru-RU"/>
      <w14:ligatures w14:val="none"/>
    </w:rPr>
  </w:style>
  <w:style w:type="character" w:styleId="CommentSubjectChar" w:customStyle="1">
    <w:name w:val="Comment Subject Char"/>
    <w:basedOn w:val="CommentTextChar"/>
    <w:link w:val="CommentSubject"/>
    <w:uiPriority w:val="99"/>
    <w:semiHidden/>
    <w:qFormat/>
    <w:rsid w:val="00b67d7e"/>
    <w:rPr>
      <w:rFonts w:ascii="Times New Roman" w:hAnsi="Times New Roman" w:eastAsia="Times New Roman" w:cs="Times New Roman"/>
      <w:b/>
      <w:bCs/>
      <w:kern w:val="0"/>
      <w:sz w:val="20"/>
      <w:szCs w:val="20"/>
      <w:lang w:val="ru-RU" w:eastAsia="ru-RU"/>
      <w14:ligatures w14:val="none"/>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link w:val="BodyTextChar"/>
    <w:uiPriority w:val="1"/>
    <w:qFormat/>
    <w:rsid w:val="00e212b6"/>
    <w:pPr>
      <w:widowControl w:val="false"/>
    </w:pPr>
    <w:rPr>
      <w:lang w:val="uk-UA" w:eastAsia="en-US"/>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Покажчик"/>
    <w:basedOn w:val="Normal"/>
    <w:qFormat/>
    <w:pPr>
      <w:suppressLineNumbers/>
    </w:pPr>
    <w:rPr>
      <w:rFonts w:cs="Lucida Sans"/>
      <w:lang w:val="zxx" w:eastAsia="zxx" w:bidi="zxx"/>
    </w:rPr>
  </w:style>
  <w:style w:type="paragraph" w:styleId="Rvps2" w:customStyle="1">
    <w:name w:val="rvps2"/>
    <w:basedOn w:val="Normal"/>
    <w:qFormat/>
    <w:rsid w:val="00da7b3b"/>
    <w:pPr>
      <w:spacing w:beforeAutospacing="1" w:afterAutospacing="1"/>
    </w:pPr>
    <w:rPr/>
  </w:style>
  <w:style w:type="paragraph" w:styleId="21" w:customStyle="1">
    <w:name w:val="Основной текст (2)"/>
    <w:basedOn w:val="Normal"/>
    <w:link w:val="2"/>
    <w:qFormat/>
    <w:rsid w:val="00da7b3b"/>
    <w:pPr>
      <w:widowControl w:val="false"/>
      <w:shd w:val="clear" w:color="auto" w:fill="FFFFFF"/>
      <w:spacing w:lineRule="atLeast" w:line="0" w:before="0" w:after="720"/>
      <w:jc w:val="center"/>
    </w:pPr>
    <w:rPr>
      <w:kern w:val="2"/>
      <w:sz w:val="28"/>
      <w:szCs w:val="28"/>
      <w:lang w:val="uk-UA" w:eastAsia="en-US"/>
      <w14:ligatures w14:val="standardContextual"/>
    </w:rPr>
  </w:style>
  <w:style w:type="paragraph" w:styleId="ListParagraph">
    <w:name w:val="List Paragraph"/>
    <w:basedOn w:val="Normal"/>
    <w:uiPriority w:val="1"/>
    <w:qFormat/>
    <w:rsid w:val="00e212b6"/>
    <w:pPr>
      <w:widowControl w:val="false"/>
      <w:ind w:left="990" w:hanging="138"/>
    </w:pPr>
    <w:rPr>
      <w:sz w:val="22"/>
      <w:szCs w:val="22"/>
      <w:lang w:val="uk-UA" w:eastAsia="en-US"/>
    </w:rPr>
  </w:style>
  <w:style w:type="paragraph" w:styleId="Annotationtext">
    <w:name w:val="annotation text"/>
    <w:basedOn w:val="Normal"/>
    <w:link w:val="CommentTextChar"/>
    <w:uiPriority w:val="99"/>
    <w:unhideWhenUsed/>
    <w:qFormat/>
    <w:rsid w:val="00b67d7e"/>
    <w:pPr/>
    <w:rPr>
      <w:sz w:val="20"/>
      <w:szCs w:val="20"/>
    </w:rPr>
  </w:style>
  <w:style w:type="paragraph" w:styleId="Annotationsubject">
    <w:name w:val="annotation subject"/>
    <w:basedOn w:val="Annotationtext"/>
    <w:next w:val="Annotationtext"/>
    <w:link w:val="CommentSubjectChar"/>
    <w:uiPriority w:val="99"/>
    <w:semiHidden/>
    <w:unhideWhenUsed/>
    <w:qFormat/>
    <w:rsid w:val="00b67d7e"/>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8d6b4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office@kronospan.com.ua"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Application>LibreOffice/7.2.2.2$Windows_X86_64 LibreOffice_project/02b2acce88a210515b4a5bb2e46cbfb63fe97d56</Application>
  <AppVersion>15.0000</AppVersion>
  <DocSecurity>4</DocSecurity>
  <Pages>2</Pages>
  <Words>605</Words>
  <Characters>4377</Characters>
  <CharactersWithSpaces>4986</CharactersWithSpaces>
  <Paragraphs>16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2025-06-13T07:50:00Z</dcterms:created>
  <dc:creator>Shajnuk, Tetiana</dc:creator>
  <dc:description/>
  <dc:language>uk-UA</dc:language>
  <cp:lastModifiedBy/>
  <dcterms:modified xsi:type="dcterms:W3CDTF">2025-06-16T22:19:53Z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