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A8" w:rsidRPr="00C511B2" w:rsidRDefault="00E32CA8" w:rsidP="00C10E68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511B2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  <w:bookmarkEnd w:id="0"/>
    </w:p>
    <w:p w:rsidR="00E32CA8" w:rsidRDefault="00E32CA8" w:rsidP="00C10E68">
      <w:pPr>
        <w:pStyle w:val="40"/>
        <w:shd w:val="clear" w:color="auto" w:fill="auto"/>
        <w:spacing w:line="276" w:lineRule="auto"/>
      </w:pPr>
      <w:r>
        <w:t xml:space="preserve">до проекту розпорядження </w:t>
      </w:r>
      <w:r w:rsidRPr="0088081F">
        <w:t xml:space="preserve">голови Волинської обласної державної адміністрації «Про встановлення тарифів на платні послуги, які надаються комунальним підприємством «Ковельська поліклініка </w:t>
      </w:r>
      <w:r w:rsidR="00C33F98" w:rsidRPr="00C33F98">
        <w:t xml:space="preserve">                         </w:t>
      </w:r>
      <w:r w:rsidRPr="0088081F">
        <w:t xml:space="preserve">Волинської </w:t>
      </w:r>
      <w:r w:rsidR="00EF0CFC">
        <w:t>обласної ради</w:t>
      </w:r>
      <w:r w:rsidRPr="0088081F">
        <w:t>»</w:t>
      </w:r>
    </w:p>
    <w:p w:rsidR="00E32CA8" w:rsidRDefault="00E32CA8" w:rsidP="00C10E68">
      <w:pPr>
        <w:pStyle w:val="40"/>
        <w:shd w:val="clear" w:color="auto" w:fill="auto"/>
        <w:spacing w:line="276" w:lineRule="auto"/>
      </w:pPr>
    </w:p>
    <w:p w:rsidR="00E32CA8" w:rsidRPr="00C511B2" w:rsidRDefault="00E32CA8" w:rsidP="00C10E68">
      <w:pPr>
        <w:keepNext/>
        <w:keepLines/>
        <w:tabs>
          <w:tab w:val="left" w:pos="1014"/>
        </w:tabs>
        <w:spacing w:line="276" w:lineRule="auto"/>
        <w:ind w:firstLine="720"/>
        <w:jc w:val="both"/>
        <w:rPr>
          <w:b/>
        </w:rPr>
      </w:pPr>
      <w:bookmarkStart w:id="1" w:name="bookmark2"/>
      <w:r w:rsidRPr="00C511B2">
        <w:rPr>
          <w:b/>
        </w:rPr>
        <w:t>І.</w:t>
      </w:r>
      <w:r w:rsidRPr="00C511B2">
        <w:rPr>
          <w:b/>
        </w:rPr>
        <w:tab/>
      </w:r>
      <w:r w:rsidRPr="00C511B2">
        <w:rPr>
          <w:rStyle w:val="10"/>
          <w:rFonts w:eastAsia="DejaVu Sans"/>
          <w:bCs w:val="0"/>
        </w:rPr>
        <w:t>Визначення проблеми, яку передбачається розв’язати шляхом державного регулювання</w:t>
      </w:r>
      <w:bookmarkEnd w:id="1"/>
    </w:p>
    <w:p w:rsidR="00E32CA8" w:rsidRPr="00B9520C" w:rsidRDefault="00E32CA8" w:rsidP="00C10E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20C">
        <w:rPr>
          <w:rFonts w:ascii="Times New Roman" w:hAnsi="Times New Roman" w:cs="Times New Roman"/>
          <w:sz w:val="28"/>
          <w:szCs w:val="28"/>
        </w:rPr>
        <w:t>В у</w:t>
      </w:r>
      <w:r w:rsidR="003A7C0E">
        <w:rPr>
          <w:rFonts w:ascii="Times New Roman" w:hAnsi="Times New Roman" w:cs="Times New Roman"/>
          <w:sz w:val="28"/>
          <w:szCs w:val="28"/>
        </w:rPr>
        <w:t>мовах дефіциту бюджетних коштів</w:t>
      </w:r>
      <w:r w:rsidRPr="00B9520C">
        <w:rPr>
          <w:rFonts w:ascii="Times New Roman" w:hAnsi="Times New Roman" w:cs="Times New Roman"/>
          <w:sz w:val="28"/>
          <w:szCs w:val="28"/>
        </w:rPr>
        <w:t xml:space="preserve"> необхідно враховувати, що важливим джерелом додаткових ко</w:t>
      </w:r>
      <w:r w:rsidR="0020000F">
        <w:rPr>
          <w:rFonts w:ascii="Times New Roman" w:hAnsi="Times New Roman" w:cs="Times New Roman"/>
          <w:sz w:val="28"/>
          <w:szCs w:val="28"/>
        </w:rPr>
        <w:t>штів для системи охорони здоров</w:t>
      </w:r>
      <w:r w:rsidR="0020000F" w:rsidRPr="0020000F">
        <w:rPr>
          <w:rFonts w:ascii="Times New Roman" w:hAnsi="Times New Roman" w:cs="Times New Roman"/>
          <w:sz w:val="28"/>
          <w:szCs w:val="28"/>
        </w:rPr>
        <w:t>’</w:t>
      </w:r>
      <w:r w:rsidRPr="00B9520C">
        <w:rPr>
          <w:rFonts w:ascii="Times New Roman" w:hAnsi="Times New Roman" w:cs="Times New Roman"/>
          <w:sz w:val="28"/>
          <w:szCs w:val="28"/>
        </w:rPr>
        <w:t xml:space="preserve">я є платні послуги, що надаються </w:t>
      </w:r>
      <w:r w:rsidR="0020000F">
        <w:rPr>
          <w:rFonts w:ascii="Times New Roman" w:hAnsi="Times New Roman" w:cs="Times New Roman"/>
          <w:sz w:val="28"/>
          <w:szCs w:val="28"/>
        </w:rPr>
        <w:t>державними та комунальними ме</w:t>
      </w:r>
      <w:r w:rsidR="00B2579C">
        <w:rPr>
          <w:rFonts w:ascii="Times New Roman" w:hAnsi="Times New Roman" w:cs="Times New Roman"/>
          <w:sz w:val="28"/>
          <w:szCs w:val="28"/>
        </w:rPr>
        <w:t>дичними закладами</w:t>
      </w:r>
      <w:r w:rsidR="00C511B2">
        <w:rPr>
          <w:rFonts w:ascii="Times New Roman" w:hAnsi="Times New Roman" w:cs="Times New Roman"/>
          <w:sz w:val="28"/>
          <w:szCs w:val="28"/>
        </w:rPr>
        <w:t>.</w:t>
      </w:r>
    </w:p>
    <w:p w:rsidR="00E32CA8" w:rsidRPr="00B9520C" w:rsidRDefault="00E32CA8" w:rsidP="00C10E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20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C511B2">
        <w:rPr>
          <w:rFonts w:ascii="Times New Roman" w:hAnsi="Times New Roman" w:cs="Times New Roman"/>
          <w:sz w:val="28"/>
          <w:szCs w:val="28"/>
        </w:rPr>
        <w:t>останніх</w:t>
      </w:r>
      <w:r w:rsidRPr="00B9520C">
        <w:rPr>
          <w:rFonts w:ascii="Times New Roman" w:hAnsi="Times New Roman" w:cs="Times New Roman"/>
          <w:sz w:val="28"/>
          <w:szCs w:val="28"/>
        </w:rPr>
        <w:t xml:space="preserve"> років значно збільшились закупівельні ціни на матеріали, медикаменти, </w:t>
      </w:r>
      <w:r w:rsidR="003A7C0E">
        <w:rPr>
          <w:rFonts w:ascii="Times New Roman" w:hAnsi="Times New Roman" w:cs="Times New Roman"/>
          <w:sz w:val="28"/>
          <w:szCs w:val="28"/>
        </w:rPr>
        <w:t xml:space="preserve">тарифи на </w:t>
      </w:r>
      <w:r w:rsidRPr="00B9520C">
        <w:rPr>
          <w:rFonts w:ascii="Times New Roman" w:hAnsi="Times New Roman" w:cs="Times New Roman"/>
          <w:sz w:val="28"/>
          <w:szCs w:val="28"/>
        </w:rPr>
        <w:t>комунальні послуги, збільшився рівень заробітної плати прац</w:t>
      </w:r>
      <w:r w:rsidR="001E72B7">
        <w:rPr>
          <w:rFonts w:ascii="Times New Roman" w:hAnsi="Times New Roman" w:cs="Times New Roman"/>
          <w:sz w:val="28"/>
          <w:szCs w:val="28"/>
        </w:rPr>
        <w:t>івників закладів охорони здоров</w:t>
      </w:r>
      <w:r w:rsidR="001E72B7" w:rsidRPr="001E72B7">
        <w:rPr>
          <w:rFonts w:ascii="Times New Roman" w:hAnsi="Times New Roman" w:cs="Times New Roman"/>
          <w:sz w:val="28"/>
          <w:szCs w:val="28"/>
        </w:rPr>
        <w:t>’</w:t>
      </w:r>
      <w:r w:rsidRPr="00B9520C">
        <w:rPr>
          <w:rFonts w:ascii="Times New Roman" w:hAnsi="Times New Roman" w:cs="Times New Roman"/>
          <w:sz w:val="28"/>
          <w:szCs w:val="28"/>
        </w:rPr>
        <w:t>я за рахунок підвищення мінімальної заробітної плати згідно з урядовими рішеннями та відповідними наказ</w:t>
      </w:r>
      <w:r w:rsidR="001E72B7">
        <w:rPr>
          <w:rFonts w:ascii="Times New Roman" w:hAnsi="Times New Roman" w:cs="Times New Roman"/>
          <w:sz w:val="28"/>
          <w:szCs w:val="28"/>
        </w:rPr>
        <w:t>ами Міністерства охорони здоров</w:t>
      </w:r>
      <w:r w:rsidR="001E72B7" w:rsidRPr="001E72B7">
        <w:rPr>
          <w:rFonts w:ascii="Times New Roman" w:hAnsi="Times New Roman" w:cs="Times New Roman"/>
          <w:sz w:val="28"/>
          <w:szCs w:val="28"/>
        </w:rPr>
        <w:t>’</w:t>
      </w:r>
      <w:r w:rsidR="0020000F">
        <w:rPr>
          <w:rFonts w:ascii="Times New Roman" w:hAnsi="Times New Roman" w:cs="Times New Roman"/>
          <w:sz w:val="28"/>
          <w:szCs w:val="28"/>
        </w:rPr>
        <w:t>я України. Д</w:t>
      </w:r>
      <w:r w:rsidRPr="00B9520C">
        <w:rPr>
          <w:rFonts w:ascii="Times New Roman" w:hAnsi="Times New Roman" w:cs="Times New Roman"/>
          <w:sz w:val="28"/>
          <w:szCs w:val="28"/>
        </w:rPr>
        <w:t>іюч</w:t>
      </w:r>
      <w:r w:rsidR="001E72B7">
        <w:rPr>
          <w:rFonts w:ascii="Times New Roman" w:hAnsi="Times New Roman" w:cs="Times New Roman"/>
          <w:sz w:val="28"/>
          <w:szCs w:val="28"/>
        </w:rPr>
        <w:t>і</w:t>
      </w:r>
      <w:r w:rsidRPr="00B9520C">
        <w:rPr>
          <w:rFonts w:ascii="Times New Roman" w:hAnsi="Times New Roman" w:cs="Times New Roman"/>
          <w:sz w:val="28"/>
          <w:szCs w:val="28"/>
        </w:rPr>
        <w:t xml:space="preserve"> на сьогодні тарифи не забезпечують покриття витрат, пов’язаних з наданням платних медичних  послуг. Враховуючи невідповідність діючих тарифів фактичним в</w:t>
      </w:r>
      <w:r w:rsidR="001E72B7">
        <w:rPr>
          <w:rFonts w:ascii="Times New Roman" w:hAnsi="Times New Roman" w:cs="Times New Roman"/>
          <w:sz w:val="28"/>
          <w:szCs w:val="28"/>
        </w:rPr>
        <w:t>итратам закладів охорони здоров</w:t>
      </w:r>
      <w:r w:rsidR="001E72B7" w:rsidRPr="00AA43AF">
        <w:rPr>
          <w:rFonts w:ascii="Times New Roman" w:hAnsi="Times New Roman" w:cs="Times New Roman"/>
          <w:sz w:val="28"/>
          <w:szCs w:val="28"/>
        </w:rPr>
        <w:t>’</w:t>
      </w:r>
      <w:r w:rsidRPr="00B9520C">
        <w:rPr>
          <w:rFonts w:ascii="Times New Roman" w:hAnsi="Times New Roman" w:cs="Times New Roman"/>
          <w:sz w:val="28"/>
          <w:szCs w:val="28"/>
        </w:rPr>
        <w:t>я</w:t>
      </w:r>
      <w:r w:rsidR="0020000F">
        <w:rPr>
          <w:rFonts w:ascii="Times New Roman" w:hAnsi="Times New Roman" w:cs="Times New Roman"/>
          <w:sz w:val="28"/>
          <w:szCs w:val="28"/>
        </w:rPr>
        <w:t>,</w:t>
      </w:r>
      <w:r w:rsidRPr="00B9520C">
        <w:rPr>
          <w:rFonts w:ascii="Times New Roman" w:hAnsi="Times New Roman" w:cs="Times New Roman"/>
          <w:sz w:val="28"/>
          <w:szCs w:val="28"/>
        </w:rPr>
        <w:t xml:space="preserve"> виникла необхідність проведення нов</w:t>
      </w:r>
      <w:r w:rsidR="00AA43AF">
        <w:rPr>
          <w:rFonts w:ascii="Times New Roman" w:hAnsi="Times New Roman" w:cs="Times New Roman"/>
          <w:sz w:val="28"/>
          <w:szCs w:val="28"/>
        </w:rPr>
        <w:t>их розрахунків вартості платних послуг комунального підприємства «Ковельська поліклініка Волинської обласної ради»</w:t>
      </w:r>
      <w:r w:rsidRPr="00B9520C">
        <w:rPr>
          <w:rFonts w:ascii="Times New Roman" w:hAnsi="Times New Roman" w:cs="Times New Roman"/>
          <w:sz w:val="28"/>
          <w:szCs w:val="28"/>
        </w:rPr>
        <w:t>.</w:t>
      </w:r>
    </w:p>
    <w:p w:rsidR="00B83D9B" w:rsidRDefault="00E32CA8" w:rsidP="003A7C0E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9520C">
        <w:rPr>
          <w:rFonts w:ascii="Times New Roman" w:hAnsi="Times New Roman" w:cs="Times New Roman"/>
          <w:sz w:val="28"/>
          <w:szCs w:val="28"/>
        </w:rPr>
        <w:t>Основні групи (підгрупи),</w:t>
      </w:r>
      <w:r w:rsidR="003A7C0E">
        <w:rPr>
          <w:rFonts w:ascii="Times New Roman" w:hAnsi="Times New Roman" w:cs="Times New Roman"/>
          <w:sz w:val="28"/>
          <w:szCs w:val="28"/>
        </w:rPr>
        <w:t xml:space="preserve"> на які проблема справляє вплив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6"/>
      </w:tblGrid>
      <w:tr w:rsidR="00B83D9B" w:rsidTr="00B83D9B">
        <w:tc>
          <w:tcPr>
            <w:tcW w:w="4390" w:type="dxa"/>
          </w:tcPr>
          <w:p w:rsidR="00B83D9B" w:rsidRPr="00B83D9B" w:rsidRDefault="00B83D9B" w:rsidP="00BA1E71">
            <w:pPr>
              <w:jc w:val="center"/>
              <w:rPr>
                <w:rFonts w:ascii="Times New Roman" w:hAnsi="Times New Roman" w:cs="Times New Roman"/>
              </w:rPr>
            </w:pPr>
            <w:r w:rsidRPr="00B83D9B">
              <w:rPr>
                <w:rStyle w:val="20"/>
                <w:rFonts w:eastAsia="DejaVu Sans"/>
                <w:b/>
                <w:sz w:val="24"/>
                <w:szCs w:val="24"/>
              </w:rPr>
              <w:t>Групи (підгрупи)</w:t>
            </w:r>
          </w:p>
        </w:tc>
        <w:tc>
          <w:tcPr>
            <w:tcW w:w="2693" w:type="dxa"/>
          </w:tcPr>
          <w:p w:rsidR="00B83D9B" w:rsidRPr="00B83D9B" w:rsidRDefault="00B83D9B" w:rsidP="00BA1E71">
            <w:pPr>
              <w:jc w:val="center"/>
              <w:rPr>
                <w:rFonts w:ascii="Times New Roman" w:hAnsi="Times New Roman" w:cs="Times New Roman"/>
              </w:rPr>
            </w:pPr>
            <w:r w:rsidRPr="00B83D9B">
              <w:rPr>
                <w:rStyle w:val="20"/>
                <w:rFonts w:eastAsia="DejaVu Sans"/>
                <w:b/>
                <w:sz w:val="24"/>
                <w:szCs w:val="24"/>
              </w:rPr>
              <w:t>Так</w:t>
            </w:r>
          </w:p>
        </w:tc>
        <w:tc>
          <w:tcPr>
            <w:tcW w:w="2546" w:type="dxa"/>
          </w:tcPr>
          <w:p w:rsidR="00B83D9B" w:rsidRPr="00B83D9B" w:rsidRDefault="00B83D9B" w:rsidP="00BA1E71">
            <w:pPr>
              <w:jc w:val="center"/>
              <w:rPr>
                <w:rFonts w:ascii="Times New Roman" w:hAnsi="Times New Roman" w:cs="Times New Roman"/>
              </w:rPr>
            </w:pPr>
            <w:r w:rsidRPr="00B83D9B">
              <w:rPr>
                <w:rStyle w:val="20"/>
                <w:rFonts w:eastAsia="DejaVu Sans"/>
                <w:b/>
                <w:sz w:val="24"/>
                <w:szCs w:val="24"/>
              </w:rPr>
              <w:t>Ні</w:t>
            </w:r>
          </w:p>
        </w:tc>
      </w:tr>
      <w:tr w:rsidR="00B83D9B" w:rsidTr="00B83D9B">
        <w:tc>
          <w:tcPr>
            <w:tcW w:w="4390" w:type="dxa"/>
          </w:tcPr>
          <w:p w:rsidR="00B83D9B" w:rsidRPr="00B83D9B" w:rsidRDefault="00B83D9B" w:rsidP="00BA1E71">
            <w:pPr>
              <w:jc w:val="both"/>
              <w:rPr>
                <w:rFonts w:ascii="Times New Roman" w:hAnsi="Times New Roman" w:cs="Times New Roman"/>
              </w:rPr>
            </w:pPr>
            <w:r w:rsidRPr="00B83D9B">
              <w:rPr>
                <w:rStyle w:val="20"/>
                <w:rFonts w:eastAsia="DejaVu Sans"/>
                <w:sz w:val="24"/>
                <w:szCs w:val="24"/>
              </w:rPr>
              <w:t>Громадяни</w:t>
            </w:r>
          </w:p>
        </w:tc>
        <w:tc>
          <w:tcPr>
            <w:tcW w:w="2693" w:type="dxa"/>
          </w:tcPr>
          <w:p w:rsidR="00B83D9B" w:rsidRPr="00B83D9B" w:rsidRDefault="00B83D9B" w:rsidP="00BA1E71">
            <w:pPr>
              <w:jc w:val="center"/>
              <w:rPr>
                <w:rFonts w:ascii="Times New Roman" w:hAnsi="Times New Roman" w:cs="Times New Roman"/>
              </w:rPr>
            </w:pPr>
            <w:r w:rsidRPr="00B83D9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546" w:type="dxa"/>
          </w:tcPr>
          <w:p w:rsidR="00B83D9B" w:rsidRPr="00B83D9B" w:rsidRDefault="00B83D9B" w:rsidP="00BA1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D9B" w:rsidTr="00B83D9B">
        <w:tc>
          <w:tcPr>
            <w:tcW w:w="4390" w:type="dxa"/>
          </w:tcPr>
          <w:p w:rsidR="00B83D9B" w:rsidRPr="00B83D9B" w:rsidRDefault="00B83D9B" w:rsidP="00BA1E71">
            <w:pPr>
              <w:jc w:val="both"/>
              <w:rPr>
                <w:rFonts w:ascii="Times New Roman" w:hAnsi="Times New Roman" w:cs="Times New Roman"/>
              </w:rPr>
            </w:pPr>
            <w:r w:rsidRPr="00B83D9B">
              <w:rPr>
                <w:rStyle w:val="20"/>
                <w:rFonts w:eastAsia="DejaVu Sans"/>
                <w:sz w:val="24"/>
                <w:szCs w:val="24"/>
              </w:rPr>
              <w:t>Держава</w:t>
            </w:r>
          </w:p>
        </w:tc>
        <w:tc>
          <w:tcPr>
            <w:tcW w:w="2693" w:type="dxa"/>
          </w:tcPr>
          <w:p w:rsidR="00B83D9B" w:rsidRPr="00B83D9B" w:rsidRDefault="00B83D9B" w:rsidP="00BA1E71">
            <w:pPr>
              <w:jc w:val="center"/>
              <w:rPr>
                <w:rFonts w:ascii="Times New Roman" w:hAnsi="Times New Roman" w:cs="Times New Roman"/>
              </w:rPr>
            </w:pPr>
            <w:r w:rsidRPr="00B83D9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546" w:type="dxa"/>
          </w:tcPr>
          <w:p w:rsidR="00B83D9B" w:rsidRPr="00B83D9B" w:rsidRDefault="00B83D9B" w:rsidP="00BA1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D9B" w:rsidTr="00B83D9B">
        <w:tc>
          <w:tcPr>
            <w:tcW w:w="4390" w:type="dxa"/>
          </w:tcPr>
          <w:p w:rsidR="00B83D9B" w:rsidRPr="00B83D9B" w:rsidRDefault="00B83D9B" w:rsidP="00BA1E71">
            <w:pPr>
              <w:jc w:val="both"/>
              <w:rPr>
                <w:rFonts w:ascii="Times New Roman" w:hAnsi="Times New Roman" w:cs="Times New Roman"/>
              </w:rPr>
            </w:pPr>
            <w:r w:rsidRPr="00B83D9B">
              <w:rPr>
                <w:rStyle w:val="20"/>
                <w:rFonts w:eastAsia="DejaVu Sans"/>
                <w:sz w:val="24"/>
                <w:szCs w:val="24"/>
              </w:rPr>
              <w:t>Суб’єкти господарювання,</w:t>
            </w:r>
          </w:p>
        </w:tc>
        <w:tc>
          <w:tcPr>
            <w:tcW w:w="2693" w:type="dxa"/>
          </w:tcPr>
          <w:p w:rsidR="00B83D9B" w:rsidRPr="00B83D9B" w:rsidRDefault="00B83D9B" w:rsidP="00BA1E71">
            <w:pPr>
              <w:jc w:val="center"/>
              <w:rPr>
                <w:rFonts w:ascii="Times New Roman" w:hAnsi="Times New Roman" w:cs="Times New Roman"/>
              </w:rPr>
            </w:pPr>
            <w:r w:rsidRPr="00B83D9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546" w:type="dxa"/>
          </w:tcPr>
          <w:p w:rsidR="00B83D9B" w:rsidRPr="00B83D9B" w:rsidRDefault="00B83D9B" w:rsidP="00BA1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D9B" w:rsidTr="00B83D9B">
        <w:tc>
          <w:tcPr>
            <w:tcW w:w="4390" w:type="dxa"/>
          </w:tcPr>
          <w:p w:rsidR="00B83D9B" w:rsidRPr="00B83D9B" w:rsidRDefault="00B83D9B" w:rsidP="00BA1E71">
            <w:pPr>
              <w:jc w:val="both"/>
              <w:rPr>
                <w:rFonts w:ascii="Times New Roman" w:hAnsi="Times New Roman" w:cs="Times New Roman"/>
              </w:rPr>
            </w:pPr>
            <w:r w:rsidRPr="00B83D9B">
              <w:rPr>
                <w:rStyle w:val="20"/>
                <w:rFonts w:eastAsia="DejaVu Sans"/>
                <w:sz w:val="24"/>
                <w:szCs w:val="24"/>
              </w:rPr>
              <w:t>у тому числі суб’єкти малого підприємництва</w:t>
            </w:r>
          </w:p>
        </w:tc>
        <w:tc>
          <w:tcPr>
            <w:tcW w:w="2693" w:type="dxa"/>
          </w:tcPr>
          <w:p w:rsidR="00B83D9B" w:rsidRPr="00B83D9B" w:rsidRDefault="00B83D9B" w:rsidP="00BA1E71">
            <w:pPr>
              <w:jc w:val="center"/>
              <w:rPr>
                <w:rFonts w:ascii="Times New Roman" w:hAnsi="Times New Roman" w:cs="Times New Roman"/>
              </w:rPr>
            </w:pPr>
            <w:r w:rsidRPr="00B83D9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546" w:type="dxa"/>
          </w:tcPr>
          <w:p w:rsidR="00B83D9B" w:rsidRPr="00B83D9B" w:rsidRDefault="00B83D9B" w:rsidP="00BA1E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3D9B" w:rsidRPr="00B9520C" w:rsidRDefault="00B83D9B" w:rsidP="00B83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CA8" w:rsidRPr="00C511B2" w:rsidRDefault="00E32CA8" w:rsidP="00C10E68">
      <w:pPr>
        <w:keepNext/>
        <w:keepLines/>
        <w:numPr>
          <w:ilvl w:val="0"/>
          <w:numId w:val="1"/>
        </w:numPr>
        <w:tabs>
          <w:tab w:val="left" w:pos="1242"/>
        </w:tabs>
        <w:spacing w:line="276" w:lineRule="auto"/>
        <w:ind w:firstLine="800"/>
        <w:jc w:val="both"/>
        <w:outlineLvl w:val="0"/>
      </w:pPr>
      <w:bookmarkStart w:id="2" w:name="bookmark3"/>
      <w:r w:rsidRPr="00C511B2">
        <w:rPr>
          <w:rStyle w:val="10"/>
          <w:rFonts w:eastAsia="DejaVu Sans"/>
          <w:bCs w:val="0"/>
        </w:rPr>
        <w:t>Цілі державного регулювання</w:t>
      </w:r>
      <w:bookmarkEnd w:id="2"/>
    </w:p>
    <w:p w:rsidR="0020000F" w:rsidRPr="0020000F" w:rsidRDefault="0020000F" w:rsidP="0020000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20000F">
        <w:rPr>
          <w:rFonts w:ascii="Times New Roman" w:hAnsi="Times New Roman" w:cs="Times New Roman"/>
          <w:sz w:val="28"/>
          <w:szCs w:val="28"/>
        </w:rPr>
        <w:t>До основних цілей регуляторного акту належать:</w:t>
      </w:r>
    </w:p>
    <w:p w:rsidR="0020000F" w:rsidRDefault="0020000F" w:rsidP="0020000F">
      <w:pPr>
        <w:pStyle w:val="11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330E9">
        <w:rPr>
          <w:sz w:val="28"/>
          <w:szCs w:val="28"/>
        </w:rPr>
        <w:t xml:space="preserve">забезпечення надання якісних медичних послуг за доступними тарифами та інтересів </w:t>
      </w:r>
      <w:r w:rsidR="00B2579C">
        <w:rPr>
          <w:sz w:val="28"/>
          <w:szCs w:val="28"/>
        </w:rPr>
        <w:t>комунального підприємства «Ковельська поліклініка Волинської обласної ради»</w:t>
      </w:r>
      <w:r w:rsidRPr="00D330E9">
        <w:rPr>
          <w:sz w:val="28"/>
          <w:szCs w:val="28"/>
        </w:rPr>
        <w:t xml:space="preserve"> щодо відшкодування ви</w:t>
      </w:r>
      <w:r>
        <w:rPr>
          <w:sz w:val="28"/>
          <w:szCs w:val="28"/>
        </w:rPr>
        <w:t>трат  на  надання  послуг;</w:t>
      </w:r>
    </w:p>
    <w:p w:rsidR="0020000F" w:rsidRDefault="0020000F" w:rsidP="0020000F">
      <w:pPr>
        <w:pStyle w:val="11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330E9">
        <w:rPr>
          <w:sz w:val="28"/>
          <w:szCs w:val="28"/>
        </w:rPr>
        <w:t>покращення умо</w:t>
      </w:r>
      <w:r>
        <w:rPr>
          <w:sz w:val="28"/>
          <w:szCs w:val="28"/>
        </w:rPr>
        <w:t>в для надання платних послуг;</w:t>
      </w:r>
    </w:p>
    <w:p w:rsidR="0020000F" w:rsidRDefault="0020000F" w:rsidP="0020000F">
      <w:pPr>
        <w:pStyle w:val="11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330E9">
        <w:rPr>
          <w:sz w:val="28"/>
          <w:szCs w:val="28"/>
        </w:rPr>
        <w:t xml:space="preserve">залучення коштів до спеціального фонду, які будуть спрямовані на поліпшення рівня </w:t>
      </w:r>
      <w:r>
        <w:rPr>
          <w:sz w:val="28"/>
          <w:szCs w:val="28"/>
        </w:rPr>
        <w:t xml:space="preserve"> матеріально-технічного стану;</w:t>
      </w:r>
    </w:p>
    <w:p w:rsidR="0020000F" w:rsidRDefault="0020000F" w:rsidP="0020000F">
      <w:pPr>
        <w:pStyle w:val="11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330E9">
        <w:rPr>
          <w:sz w:val="28"/>
          <w:szCs w:val="28"/>
        </w:rPr>
        <w:t>затвердження економічно обґрунтованих розмірів тарифів на платні послуги.</w:t>
      </w:r>
    </w:p>
    <w:p w:rsidR="005F05EC" w:rsidRDefault="005F05EC" w:rsidP="0020000F">
      <w:pPr>
        <w:pStyle w:val="11"/>
        <w:spacing w:line="100" w:lineRule="atLeast"/>
        <w:ind w:firstLine="709"/>
        <w:jc w:val="both"/>
        <w:rPr>
          <w:sz w:val="28"/>
          <w:szCs w:val="28"/>
        </w:rPr>
      </w:pPr>
    </w:p>
    <w:p w:rsidR="005055FC" w:rsidRDefault="005055FC" w:rsidP="0020000F">
      <w:pPr>
        <w:pStyle w:val="11"/>
        <w:spacing w:line="100" w:lineRule="atLeast"/>
        <w:ind w:firstLine="709"/>
        <w:jc w:val="both"/>
        <w:rPr>
          <w:sz w:val="28"/>
          <w:szCs w:val="28"/>
        </w:rPr>
      </w:pPr>
    </w:p>
    <w:p w:rsidR="005055FC" w:rsidRDefault="005055FC" w:rsidP="0020000F">
      <w:pPr>
        <w:pStyle w:val="11"/>
        <w:spacing w:line="100" w:lineRule="atLeast"/>
        <w:ind w:firstLine="709"/>
        <w:jc w:val="both"/>
        <w:rPr>
          <w:sz w:val="28"/>
          <w:szCs w:val="28"/>
        </w:rPr>
      </w:pPr>
    </w:p>
    <w:p w:rsidR="00C511B2" w:rsidRDefault="00C10E68" w:rsidP="00C10E68">
      <w:pPr>
        <w:pStyle w:val="a3"/>
        <w:spacing w:line="276" w:lineRule="auto"/>
        <w:ind w:firstLine="851"/>
        <w:rPr>
          <w:rStyle w:val="10"/>
          <w:rFonts w:eastAsia="DejaVu Sans"/>
          <w:bCs w:val="0"/>
        </w:rPr>
      </w:pPr>
      <w:r w:rsidRPr="00C10E68">
        <w:rPr>
          <w:rStyle w:val="apple-style-span"/>
          <w:b/>
          <w:u w:val="single"/>
          <w:shd w:val="clear" w:color="auto" w:fill="FFFFFF"/>
        </w:rPr>
        <w:lastRenderedPageBreak/>
        <w:t>ІІІ.</w:t>
      </w:r>
      <w:r>
        <w:rPr>
          <w:rStyle w:val="apple-style-span"/>
          <w:shd w:val="clear" w:color="auto" w:fill="FFFFFF"/>
        </w:rPr>
        <w:t xml:space="preserve"> </w:t>
      </w:r>
      <w:r w:rsidR="00C511B2" w:rsidRPr="00C511B2">
        <w:rPr>
          <w:rStyle w:val="10"/>
          <w:rFonts w:eastAsia="DejaVu Sans"/>
          <w:bCs w:val="0"/>
        </w:rPr>
        <w:t>Визначення та оцінка альтернативних способів досягнення визначених цілей</w:t>
      </w:r>
      <w:bookmarkEnd w:id="3"/>
    </w:p>
    <w:p w:rsidR="00C511B2" w:rsidRPr="00C511B2" w:rsidRDefault="00B2579C" w:rsidP="009A40FE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511B2" w:rsidRPr="00B2579C">
        <w:rPr>
          <w:rFonts w:ascii="Times New Roman" w:hAnsi="Times New Roman" w:cs="Times New Roman"/>
          <w:sz w:val="28"/>
          <w:szCs w:val="28"/>
        </w:rPr>
        <w:t>Визначення альтернативних способів</w:t>
      </w:r>
      <w:r w:rsidR="007347A3" w:rsidRPr="00B2579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7104"/>
      </w:tblGrid>
      <w:tr w:rsidR="00C511B2" w:rsidTr="001E72B7">
        <w:trPr>
          <w:trHeight w:hRule="exact" w:val="43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1B2" w:rsidRPr="001E72B7" w:rsidRDefault="00C511B2" w:rsidP="001E72B7">
            <w:pPr>
              <w:framePr w:w="9667" w:wrap="notBeside" w:vAnchor="text" w:hAnchor="text" w:xAlign="center" w:y="1"/>
              <w:spacing w:line="280" w:lineRule="exact"/>
              <w:ind w:left="220"/>
              <w:jc w:val="center"/>
              <w:rPr>
                <w:b/>
              </w:rPr>
            </w:pPr>
            <w:r w:rsidRPr="001E72B7">
              <w:rPr>
                <w:rStyle w:val="20"/>
                <w:rFonts w:eastAsia="DejaVu Sans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1B2" w:rsidRPr="001E72B7" w:rsidRDefault="00C511B2" w:rsidP="001E72B7">
            <w:pPr>
              <w:framePr w:w="9667" w:wrap="notBeside" w:vAnchor="text" w:hAnchor="text" w:xAlign="center" w:y="1"/>
              <w:spacing w:line="280" w:lineRule="exact"/>
              <w:jc w:val="center"/>
              <w:rPr>
                <w:b/>
              </w:rPr>
            </w:pPr>
            <w:r w:rsidRPr="001E72B7">
              <w:rPr>
                <w:rStyle w:val="20"/>
                <w:rFonts w:eastAsia="DejaVu Sans"/>
                <w:b/>
                <w:sz w:val="24"/>
                <w:szCs w:val="24"/>
              </w:rPr>
              <w:t>Опис альтернативи</w:t>
            </w:r>
          </w:p>
        </w:tc>
      </w:tr>
      <w:tr w:rsidR="00C511B2" w:rsidTr="00DB3B74">
        <w:trPr>
          <w:trHeight w:hRule="exact" w:val="43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1B2" w:rsidRPr="00B83D9B" w:rsidRDefault="00C511B2" w:rsidP="004E6CA7">
            <w:pPr>
              <w:framePr w:w="9667" w:wrap="notBeside" w:vAnchor="text" w:hAnchor="text" w:xAlign="center" w:y="1"/>
              <w:spacing w:line="280" w:lineRule="exact"/>
              <w:ind w:left="360"/>
            </w:pPr>
            <w:r w:rsidRPr="00B83D9B">
              <w:rPr>
                <w:rStyle w:val="20"/>
                <w:rFonts w:eastAsia="DejaVu Sans"/>
                <w:sz w:val="24"/>
                <w:szCs w:val="24"/>
              </w:rPr>
              <w:t>Альтернатива 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1B2" w:rsidRPr="005F05EC" w:rsidRDefault="005F05EC" w:rsidP="00787714">
            <w:pPr>
              <w:framePr w:w="9667" w:wrap="notBeside" w:vAnchor="text" w:hAnchor="text" w:xAlign="center" w:y="1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F05EC">
              <w:rPr>
                <w:rFonts w:ascii="Times New Roman" w:hAnsi="Times New Roman" w:cs="Times New Roman"/>
              </w:rPr>
              <w:t>Залишити тарифи на платні медичні послуги без змін.</w:t>
            </w:r>
          </w:p>
        </w:tc>
      </w:tr>
      <w:tr w:rsidR="00C511B2" w:rsidTr="00DB3B74">
        <w:trPr>
          <w:trHeight w:hRule="exact" w:val="70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1B2" w:rsidRPr="00B83D9B" w:rsidRDefault="00C511B2" w:rsidP="004E6CA7">
            <w:pPr>
              <w:framePr w:w="9667" w:wrap="notBeside" w:vAnchor="text" w:hAnchor="text" w:xAlign="center" w:y="1"/>
              <w:spacing w:line="280" w:lineRule="exact"/>
              <w:ind w:left="360"/>
            </w:pPr>
            <w:r w:rsidRPr="00B83D9B">
              <w:rPr>
                <w:rStyle w:val="20"/>
                <w:rFonts w:eastAsia="DejaVu Sans"/>
                <w:sz w:val="24"/>
                <w:szCs w:val="24"/>
              </w:rPr>
              <w:t>Альтернатива 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1B2" w:rsidRPr="005F05EC" w:rsidRDefault="005F05EC" w:rsidP="00787714">
            <w:pPr>
              <w:framePr w:w="9667" w:wrap="notBeside" w:vAnchor="text" w:hAnchor="text" w:xAlign="center" w:y="1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F05EC">
              <w:rPr>
                <w:rFonts w:ascii="Times New Roman" w:hAnsi="Times New Roman" w:cs="Times New Roman"/>
              </w:rPr>
              <w:t>Залишити  формування тарифів у вільному режимі ціноутворення за умови  відміни державного регулювання тарифів</w:t>
            </w:r>
            <w:r w:rsidR="009A40FE">
              <w:rPr>
                <w:rFonts w:ascii="Times New Roman" w:hAnsi="Times New Roman" w:cs="Times New Roman"/>
              </w:rPr>
              <w:t>.</w:t>
            </w:r>
            <w:r w:rsidRPr="005F05EC">
              <w:rPr>
                <w:rFonts w:ascii="Times New Roman" w:hAnsi="Times New Roman" w:cs="Times New Roman"/>
              </w:rPr>
              <w:t xml:space="preserve"> на послуги.</w:t>
            </w:r>
          </w:p>
        </w:tc>
      </w:tr>
      <w:tr w:rsidR="005F05EC" w:rsidTr="00DB3B74">
        <w:trPr>
          <w:trHeight w:hRule="exact" w:val="71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5EC" w:rsidRPr="00B83D9B" w:rsidRDefault="005F05EC" w:rsidP="005F05EC">
            <w:pPr>
              <w:framePr w:w="9667" w:wrap="notBeside" w:vAnchor="text" w:hAnchor="text" w:xAlign="center" w:y="1"/>
              <w:spacing w:line="280" w:lineRule="exact"/>
              <w:ind w:left="360"/>
            </w:pPr>
            <w:r w:rsidRPr="00B83D9B">
              <w:rPr>
                <w:rStyle w:val="20"/>
                <w:rFonts w:eastAsia="DejaVu Sans"/>
                <w:sz w:val="24"/>
                <w:szCs w:val="24"/>
              </w:rPr>
              <w:t>Альтернатива 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5EC" w:rsidRPr="005F05EC" w:rsidRDefault="005F05EC" w:rsidP="00787714">
            <w:pPr>
              <w:framePr w:w="9667" w:wrap="notBeside" w:vAnchor="text" w:hAnchor="text" w:xAlign="center" w:y="1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F05EC">
              <w:rPr>
                <w:rFonts w:ascii="Times New Roman" w:hAnsi="Times New Roman" w:cs="Times New Roman"/>
              </w:rPr>
              <w:t>Прийняти  регуляторний акт, що передбачає затвердження економічно об</w:t>
            </w:r>
            <w:r w:rsidR="00DB3B74" w:rsidRPr="001E72B7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5F05EC">
              <w:rPr>
                <w:rFonts w:ascii="Times New Roman" w:hAnsi="Times New Roman" w:cs="Times New Roman"/>
              </w:rPr>
              <w:t>рунтованих тарифів на послуги.</w:t>
            </w:r>
          </w:p>
        </w:tc>
      </w:tr>
    </w:tbl>
    <w:p w:rsidR="00C511B2" w:rsidRDefault="00C511B2" w:rsidP="00C511B2">
      <w:pPr>
        <w:framePr w:w="9667" w:wrap="notBeside" w:vAnchor="text" w:hAnchor="text" w:xAlign="center" w:y="1"/>
        <w:rPr>
          <w:sz w:val="2"/>
          <w:szCs w:val="2"/>
        </w:rPr>
      </w:pPr>
    </w:p>
    <w:p w:rsidR="00C511B2" w:rsidRDefault="00C511B2" w:rsidP="00C511B2">
      <w:pPr>
        <w:rPr>
          <w:sz w:val="2"/>
          <w:szCs w:val="2"/>
        </w:rPr>
      </w:pPr>
    </w:p>
    <w:p w:rsidR="009A40FE" w:rsidRPr="009A40FE" w:rsidRDefault="009A40FE" w:rsidP="009A40FE">
      <w:pPr>
        <w:tabs>
          <w:tab w:val="left" w:pos="1072"/>
        </w:tabs>
        <w:spacing w:line="276" w:lineRule="auto"/>
        <w:ind w:left="743"/>
      </w:pPr>
    </w:p>
    <w:p w:rsidR="00441A37" w:rsidRDefault="00C511B2" w:rsidP="009A40FE">
      <w:pPr>
        <w:numPr>
          <w:ilvl w:val="0"/>
          <w:numId w:val="2"/>
        </w:numPr>
        <w:tabs>
          <w:tab w:val="left" w:pos="1072"/>
        </w:tabs>
        <w:spacing w:line="276" w:lineRule="auto"/>
        <w:ind w:left="743"/>
      </w:pPr>
      <w:r w:rsidRPr="00441A37">
        <w:rPr>
          <w:rFonts w:ascii="Times New Roman" w:hAnsi="Times New Roman" w:cs="Times New Roman"/>
          <w:sz w:val="28"/>
          <w:szCs w:val="28"/>
        </w:rPr>
        <w:t>Оцінка вибраних альтернативних способів досягнення цілей.</w:t>
      </w:r>
      <w:r>
        <w:t xml:space="preserve"> </w:t>
      </w:r>
    </w:p>
    <w:p w:rsidR="00C511B2" w:rsidRDefault="00C511B2" w:rsidP="009A40FE">
      <w:pPr>
        <w:tabs>
          <w:tab w:val="left" w:pos="1072"/>
        </w:tabs>
        <w:spacing w:line="276" w:lineRule="auto"/>
        <w:ind w:left="743"/>
        <w:jc w:val="center"/>
        <w:rPr>
          <w:rFonts w:ascii="Times New Roman" w:hAnsi="Times New Roman" w:cs="Times New Roman"/>
          <w:sz w:val="28"/>
          <w:szCs w:val="28"/>
        </w:rPr>
      </w:pPr>
      <w:r w:rsidRPr="00441A37">
        <w:rPr>
          <w:rFonts w:ascii="Times New Roman" w:hAnsi="Times New Roman" w:cs="Times New Roman"/>
          <w:sz w:val="28"/>
          <w:szCs w:val="28"/>
        </w:rPr>
        <w:t>Оцінка впливу на сферу інтересів держави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420"/>
        <w:gridCol w:w="3118"/>
      </w:tblGrid>
      <w:tr w:rsidR="00B83D9B" w:rsidTr="009A40FE">
        <w:trPr>
          <w:trHeight w:val="696"/>
        </w:trPr>
        <w:tc>
          <w:tcPr>
            <w:tcW w:w="3209" w:type="dxa"/>
          </w:tcPr>
          <w:p w:rsidR="005F0FC3" w:rsidRPr="005F0FC3" w:rsidRDefault="005F0FC3" w:rsidP="005F0FC3">
            <w:pPr>
              <w:tabs>
                <w:tab w:val="left" w:pos="1072"/>
              </w:tabs>
              <w:jc w:val="center"/>
              <w:rPr>
                <w:rStyle w:val="20"/>
                <w:rFonts w:eastAsia="DejaVu Sans"/>
                <w:b/>
                <w:sz w:val="18"/>
                <w:szCs w:val="18"/>
              </w:rPr>
            </w:pPr>
          </w:p>
          <w:p w:rsidR="00B83D9B" w:rsidRPr="001905C4" w:rsidRDefault="00B83D9B" w:rsidP="005F0FC3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C4">
              <w:rPr>
                <w:rStyle w:val="20"/>
                <w:rFonts w:eastAsia="DejaVu Sans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3420" w:type="dxa"/>
          </w:tcPr>
          <w:p w:rsidR="005F0FC3" w:rsidRPr="005F0FC3" w:rsidRDefault="005F0FC3" w:rsidP="005F0FC3">
            <w:pPr>
              <w:tabs>
                <w:tab w:val="left" w:pos="1072"/>
              </w:tabs>
              <w:jc w:val="center"/>
              <w:rPr>
                <w:rStyle w:val="20"/>
                <w:rFonts w:eastAsia="DejaVu Sans"/>
                <w:b/>
                <w:sz w:val="18"/>
                <w:szCs w:val="18"/>
              </w:rPr>
            </w:pPr>
          </w:p>
          <w:p w:rsidR="00B83D9B" w:rsidRPr="001905C4" w:rsidRDefault="00B83D9B" w:rsidP="005F0FC3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C4">
              <w:rPr>
                <w:rStyle w:val="20"/>
                <w:rFonts w:eastAsia="DejaVu Sans"/>
                <w:b/>
                <w:sz w:val="24"/>
                <w:szCs w:val="24"/>
              </w:rPr>
              <w:t>Вигоди</w:t>
            </w:r>
          </w:p>
        </w:tc>
        <w:tc>
          <w:tcPr>
            <w:tcW w:w="3118" w:type="dxa"/>
          </w:tcPr>
          <w:p w:rsidR="005F0FC3" w:rsidRPr="005F0FC3" w:rsidRDefault="005F0FC3" w:rsidP="005F0FC3">
            <w:pPr>
              <w:tabs>
                <w:tab w:val="left" w:pos="1072"/>
              </w:tabs>
              <w:jc w:val="center"/>
              <w:rPr>
                <w:rStyle w:val="20"/>
                <w:rFonts w:eastAsia="DejaVu Sans"/>
                <w:b/>
                <w:sz w:val="18"/>
                <w:szCs w:val="18"/>
              </w:rPr>
            </w:pPr>
          </w:p>
          <w:p w:rsidR="00B83D9B" w:rsidRPr="001905C4" w:rsidRDefault="00B83D9B" w:rsidP="005F0FC3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C4">
              <w:rPr>
                <w:rStyle w:val="20"/>
                <w:rFonts w:eastAsia="DejaVu Sans"/>
                <w:b/>
                <w:sz w:val="24"/>
                <w:szCs w:val="24"/>
              </w:rPr>
              <w:t>Витрати</w:t>
            </w:r>
          </w:p>
        </w:tc>
      </w:tr>
      <w:tr w:rsidR="00DB3B74" w:rsidTr="009A40FE">
        <w:trPr>
          <w:trHeight w:val="1241"/>
        </w:trPr>
        <w:tc>
          <w:tcPr>
            <w:tcW w:w="3209" w:type="dxa"/>
          </w:tcPr>
          <w:p w:rsidR="00DB3B74" w:rsidRPr="001905C4" w:rsidRDefault="00DB3B7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Fonts w:ascii="Times New Roman" w:hAnsi="Times New Roman" w:cs="Times New Roman"/>
                <w:sz w:val="24"/>
                <w:szCs w:val="24"/>
              </w:rPr>
              <w:t>Залишити тарифи на платні медичні послуги без змін.</w:t>
            </w:r>
          </w:p>
        </w:tc>
        <w:tc>
          <w:tcPr>
            <w:tcW w:w="3420" w:type="dxa"/>
          </w:tcPr>
          <w:p w:rsidR="00DB3B74" w:rsidRPr="001905C4" w:rsidRDefault="00DB3B74" w:rsidP="00787714">
            <w:pPr>
              <w:tabs>
                <w:tab w:val="left" w:pos="1072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Style w:val="20"/>
                <w:rFonts w:eastAsia="DejaVu Sans"/>
                <w:sz w:val="24"/>
                <w:szCs w:val="24"/>
              </w:rPr>
              <w:t>Відсутні</w:t>
            </w:r>
          </w:p>
        </w:tc>
        <w:tc>
          <w:tcPr>
            <w:tcW w:w="3118" w:type="dxa"/>
          </w:tcPr>
          <w:p w:rsidR="001905C4" w:rsidRPr="001905C4" w:rsidRDefault="001905C4" w:rsidP="00787714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Fonts w:ascii="Times New Roman" w:hAnsi="Times New Roman" w:cs="Times New Roman"/>
                <w:sz w:val="24"/>
                <w:szCs w:val="24"/>
              </w:rPr>
              <w:t>- Зменшення надходжень  до бюджету;</w:t>
            </w:r>
          </w:p>
          <w:p w:rsidR="00DB3B74" w:rsidRPr="001905C4" w:rsidRDefault="001905C4" w:rsidP="00787714">
            <w:pPr>
              <w:tabs>
                <w:tab w:val="left" w:pos="1072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Fonts w:ascii="Times New Roman" w:hAnsi="Times New Roman" w:cs="Times New Roman"/>
                <w:sz w:val="24"/>
                <w:szCs w:val="24"/>
              </w:rPr>
              <w:t>- збільшення навантаження на бюджет.</w:t>
            </w:r>
          </w:p>
        </w:tc>
      </w:tr>
      <w:tr w:rsidR="00DB3B74" w:rsidTr="009A40FE">
        <w:trPr>
          <w:trHeight w:val="1752"/>
        </w:trPr>
        <w:tc>
          <w:tcPr>
            <w:tcW w:w="3209" w:type="dxa"/>
          </w:tcPr>
          <w:p w:rsidR="00DB3B74" w:rsidRPr="001905C4" w:rsidRDefault="00DB3B7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Fonts w:ascii="Times New Roman" w:hAnsi="Times New Roman" w:cs="Times New Roman"/>
                <w:sz w:val="24"/>
                <w:szCs w:val="24"/>
              </w:rPr>
              <w:t>Залишити  формування тарифів у вільному режимі ціноутворення за умови  відміни державного регулювання тарифів на послуги.</w:t>
            </w:r>
          </w:p>
        </w:tc>
        <w:tc>
          <w:tcPr>
            <w:tcW w:w="3420" w:type="dxa"/>
          </w:tcPr>
          <w:p w:rsidR="00DB3B74" w:rsidRPr="001905C4" w:rsidRDefault="00DB3B74" w:rsidP="00787714">
            <w:pPr>
              <w:tabs>
                <w:tab w:val="left" w:pos="1072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Style w:val="20"/>
                <w:rFonts w:eastAsia="DejaVu Sans"/>
                <w:sz w:val="24"/>
                <w:szCs w:val="24"/>
              </w:rPr>
              <w:t>Відсутні</w:t>
            </w:r>
          </w:p>
        </w:tc>
        <w:tc>
          <w:tcPr>
            <w:tcW w:w="3118" w:type="dxa"/>
          </w:tcPr>
          <w:p w:rsidR="00DB3B74" w:rsidRPr="001905C4" w:rsidRDefault="001905C4" w:rsidP="00787714">
            <w:pPr>
              <w:tabs>
                <w:tab w:val="left" w:pos="1072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Style w:val="20"/>
                <w:rFonts w:eastAsia="DejaVu Sans"/>
                <w:sz w:val="24"/>
                <w:szCs w:val="24"/>
              </w:rPr>
              <w:t xml:space="preserve">Невідповідність зазначеного </w:t>
            </w:r>
            <w:r w:rsidR="009A40FE">
              <w:rPr>
                <w:rStyle w:val="20"/>
                <w:rFonts w:eastAsia="DejaVu Sans"/>
                <w:sz w:val="24"/>
                <w:szCs w:val="24"/>
              </w:rPr>
              <w:t>регуляторного</w:t>
            </w:r>
            <w:r w:rsidR="00DB3B74" w:rsidRPr="001905C4">
              <w:rPr>
                <w:rStyle w:val="20"/>
                <w:rFonts w:eastAsia="DejaVu Sans"/>
                <w:sz w:val="24"/>
                <w:szCs w:val="24"/>
              </w:rPr>
              <w:t xml:space="preserve"> акт</w:t>
            </w:r>
            <w:r w:rsidRPr="001905C4">
              <w:rPr>
                <w:rStyle w:val="20"/>
                <w:rFonts w:eastAsia="DejaVu Sans"/>
                <w:sz w:val="24"/>
                <w:szCs w:val="24"/>
              </w:rPr>
              <w:t>у</w:t>
            </w:r>
            <w:r w:rsidR="00DB3B74" w:rsidRPr="001905C4">
              <w:rPr>
                <w:rStyle w:val="20"/>
                <w:rFonts w:eastAsia="DejaVu Sans"/>
                <w:sz w:val="24"/>
                <w:szCs w:val="24"/>
              </w:rPr>
              <w:t xml:space="preserve"> вимогам чинного законодавства, зокрема, постанов</w:t>
            </w:r>
            <w:r w:rsidR="009A40FE">
              <w:rPr>
                <w:rStyle w:val="20"/>
                <w:rFonts w:eastAsia="DejaVu Sans"/>
                <w:sz w:val="24"/>
                <w:szCs w:val="24"/>
              </w:rPr>
              <w:t>і</w:t>
            </w:r>
            <w:r w:rsidR="00DB3B74" w:rsidRPr="001905C4">
              <w:rPr>
                <w:rStyle w:val="20"/>
                <w:rFonts w:eastAsia="DejaVu Sans"/>
                <w:sz w:val="24"/>
                <w:szCs w:val="24"/>
              </w:rPr>
              <w:t xml:space="preserve"> </w:t>
            </w:r>
            <w:r w:rsidR="009A40FE">
              <w:rPr>
                <w:rStyle w:val="20"/>
                <w:rFonts w:eastAsia="DejaVu Sans"/>
                <w:sz w:val="24"/>
                <w:szCs w:val="24"/>
              </w:rPr>
              <w:t>КМУ</w:t>
            </w:r>
            <w:r w:rsidR="00603CF5">
              <w:rPr>
                <w:rStyle w:val="20"/>
                <w:rFonts w:eastAsia="DejaVu Sans"/>
                <w:sz w:val="24"/>
                <w:szCs w:val="24"/>
              </w:rPr>
              <w:t xml:space="preserve"> від 25.12.1996 № </w:t>
            </w:r>
            <w:r w:rsidR="00DB3B74" w:rsidRPr="001905C4">
              <w:rPr>
                <w:rStyle w:val="20"/>
                <w:rFonts w:eastAsia="DejaVu Sans"/>
                <w:sz w:val="24"/>
                <w:szCs w:val="24"/>
              </w:rPr>
              <w:t>1548</w:t>
            </w:r>
            <w:r w:rsidRPr="001905C4">
              <w:rPr>
                <w:rStyle w:val="20"/>
                <w:rFonts w:eastAsia="DejaVu Sans"/>
                <w:sz w:val="24"/>
                <w:szCs w:val="24"/>
              </w:rPr>
              <w:t>.</w:t>
            </w:r>
          </w:p>
        </w:tc>
      </w:tr>
      <w:tr w:rsidR="00DB3B74" w:rsidTr="009A40FE">
        <w:trPr>
          <w:trHeight w:val="2257"/>
        </w:trPr>
        <w:tc>
          <w:tcPr>
            <w:tcW w:w="3209" w:type="dxa"/>
          </w:tcPr>
          <w:p w:rsidR="00DB3B74" w:rsidRPr="001905C4" w:rsidRDefault="00DB3B7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Fonts w:ascii="Times New Roman" w:hAnsi="Times New Roman" w:cs="Times New Roman"/>
                <w:sz w:val="24"/>
                <w:szCs w:val="24"/>
              </w:rPr>
              <w:t>Прийняти  регуляторний акт, що передбачає затвердження економічно об</w:t>
            </w:r>
            <w:r w:rsidRPr="001905C4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1905C4">
              <w:rPr>
                <w:rFonts w:ascii="Times New Roman" w:hAnsi="Times New Roman" w:cs="Times New Roman"/>
                <w:sz w:val="24"/>
                <w:szCs w:val="24"/>
              </w:rPr>
              <w:t>рунтованих тарифів на послуги.</w:t>
            </w:r>
          </w:p>
        </w:tc>
        <w:tc>
          <w:tcPr>
            <w:tcW w:w="3420" w:type="dxa"/>
          </w:tcPr>
          <w:p w:rsidR="001905C4" w:rsidRPr="001905C4" w:rsidRDefault="001905C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Fonts w:ascii="Times New Roman" w:hAnsi="Times New Roman" w:cs="Times New Roman"/>
                <w:sz w:val="24"/>
                <w:szCs w:val="24"/>
              </w:rPr>
              <w:t xml:space="preserve">- Встановлення тарифів на платні медичні послуги на економічно обґрунтованому рівні; </w:t>
            </w:r>
          </w:p>
          <w:p w:rsidR="00DB3B74" w:rsidRPr="001905C4" w:rsidRDefault="001905C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Fonts w:ascii="Times New Roman" w:hAnsi="Times New Roman" w:cs="Times New Roman"/>
                <w:sz w:val="24"/>
                <w:szCs w:val="24"/>
              </w:rPr>
              <w:t>- стабілізація фінансового стану поліклініки за рахунок коштів спеціального фонду.</w:t>
            </w:r>
          </w:p>
        </w:tc>
        <w:tc>
          <w:tcPr>
            <w:tcW w:w="3118" w:type="dxa"/>
          </w:tcPr>
          <w:p w:rsidR="00DB3B74" w:rsidRPr="001905C4" w:rsidRDefault="00DB3B74" w:rsidP="00787714">
            <w:pPr>
              <w:tabs>
                <w:tab w:val="left" w:pos="1072"/>
              </w:tabs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5C4">
              <w:rPr>
                <w:rStyle w:val="20"/>
                <w:rFonts w:eastAsia="DejaVu Sans"/>
                <w:sz w:val="24"/>
                <w:szCs w:val="24"/>
              </w:rPr>
              <w:t>Відсутні</w:t>
            </w:r>
          </w:p>
        </w:tc>
      </w:tr>
    </w:tbl>
    <w:p w:rsidR="007347A3" w:rsidRDefault="007347A3" w:rsidP="007347A3">
      <w:pPr>
        <w:pStyle w:val="a6"/>
        <w:shd w:val="clear" w:color="auto" w:fill="auto"/>
        <w:spacing w:line="280" w:lineRule="exact"/>
        <w:jc w:val="center"/>
      </w:pPr>
    </w:p>
    <w:p w:rsidR="0061177E" w:rsidRDefault="0061177E" w:rsidP="007347A3">
      <w:pPr>
        <w:pStyle w:val="a6"/>
        <w:shd w:val="clear" w:color="auto" w:fill="auto"/>
        <w:spacing w:line="280" w:lineRule="exact"/>
        <w:jc w:val="center"/>
      </w:pPr>
      <w:r>
        <w:t>Оцінка впливу на сферу інтересів громадян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328"/>
      </w:tblGrid>
      <w:tr w:rsidR="0061177E" w:rsidTr="009A40FE">
        <w:trPr>
          <w:trHeight w:val="562"/>
        </w:trPr>
        <w:tc>
          <w:tcPr>
            <w:tcW w:w="3209" w:type="dxa"/>
            <w:vAlign w:val="center"/>
          </w:tcPr>
          <w:p w:rsidR="0061177E" w:rsidRPr="00B045E5" w:rsidRDefault="0061177E" w:rsidP="007347A3">
            <w:pPr>
              <w:pStyle w:val="a6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B045E5">
              <w:rPr>
                <w:rStyle w:val="20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3210" w:type="dxa"/>
            <w:vAlign w:val="center"/>
          </w:tcPr>
          <w:p w:rsidR="0061177E" w:rsidRPr="00B045E5" w:rsidRDefault="0061177E" w:rsidP="007347A3">
            <w:pPr>
              <w:pStyle w:val="a6"/>
              <w:shd w:val="clear" w:color="auto" w:fill="auto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B045E5">
              <w:rPr>
                <w:rStyle w:val="20"/>
                <w:b/>
                <w:sz w:val="24"/>
                <w:szCs w:val="24"/>
              </w:rPr>
              <w:t>Вигоди</w:t>
            </w:r>
          </w:p>
        </w:tc>
        <w:tc>
          <w:tcPr>
            <w:tcW w:w="3328" w:type="dxa"/>
            <w:vAlign w:val="center"/>
          </w:tcPr>
          <w:p w:rsidR="0061177E" w:rsidRPr="00B045E5" w:rsidRDefault="0061177E" w:rsidP="007347A3">
            <w:pPr>
              <w:spacing w:line="280" w:lineRule="exact"/>
              <w:jc w:val="center"/>
              <w:rPr>
                <w:b/>
              </w:rPr>
            </w:pPr>
            <w:r w:rsidRPr="00B045E5">
              <w:rPr>
                <w:rStyle w:val="20"/>
                <w:rFonts w:eastAsia="DejaVu Sans"/>
                <w:b/>
                <w:sz w:val="24"/>
                <w:szCs w:val="24"/>
              </w:rPr>
              <w:t>Витрати</w:t>
            </w:r>
          </w:p>
        </w:tc>
      </w:tr>
      <w:tr w:rsidR="001B7704" w:rsidTr="009A40FE">
        <w:trPr>
          <w:trHeight w:val="2117"/>
        </w:trPr>
        <w:tc>
          <w:tcPr>
            <w:tcW w:w="3209" w:type="dxa"/>
          </w:tcPr>
          <w:p w:rsidR="001B7704" w:rsidRPr="001B7704" w:rsidRDefault="001B770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Залишити тарифи на платні медичні послуги без змін.</w:t>
            </w:r>
          </w:p>
        </w:tc>
        <w:tc>
          <w:tcPr>
            <w:tcW w:w="3210" w:type="dxa"/>
          </w:tcPr>
          <w:p w:rsidR="001B7704" w:rsidRPr="00EE2C24" w:rsidRDefault="00EE2C2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24">
              <w:rPr>
                <w:rStyle w:val="20"/>
                <w:rFonts w:eastAsia="DejaVu Sans"/>
                <w:sz w:val="24"/>
                <w:szCs w:val="24"/>
              </w:rPr>
              <w:t>Дозволяє споживачам послуг не витрачати додаткові кошти у разі підвищення тарифів на медичні послуги.</w:t>
            </w:r>
          </w:p>
        </w:tc>
        <w:tc>
          <w:tcPr>
            <w:tcW w:w="3328" w:type="dxa"/>
          </w:tcPr>
          <w:p w:rsidR="001B7704" w:rsidRPr="001B7704" w:rsidRDefault="001B770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 xml:space="preserve">- Додаткові витрати  </w:t>
            </w:r>
            <w:r w:rsidR="00EE2C24">
              <w:rPr>
                <w:rFonts w:ascii="Times New Roman" w:hAnsi="Times New Roman" w:cs="Times New Roman"/>
                <w:sz w:val="24"/>
                <w:szCs w:val="24"/>
              </w:rPr>
              <w:t>поліклініки</w:t>
            </w: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7704" w:rsidRPr="001B7704" w:rsidRDefault="001B770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- від</w:t>
            </w:r>
            <w:r w:rsidR="00195DD3">
              <w:rPr>
                <w:rFonts w:ascii="Times New Roman" w:hAnsi="Times New Roman" w:cs="Times New Roman"/>
                <w:sz w:val="24"/>
                <w:szCs w:val="24"/>
              </w:rPr>
              <w:t>сутність розвитку матеріально-</w:t>
            </w: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технічної бази поліклініки;</w:t>
            </w:r>
          </w:p>
          <w:p w:rsidR="001B7704" w:rsidRPr="001B7704" w:rsidRDefault="001B770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неможливість  надання медичних послуг  у повному обсязі та належної якості.</w:t>
            </w:r>
          </w:p>
        </w:tc>
      </w:tr>
      <w:tr w:rsidR="001B7704" w:rsidTr="009A40FE">
        <w:trPr>
          <w:trHeight w:val="1833"/>
        </w:trPr>
        <w:tc>
          <w:tcPr>
            <w:tcW w:w="3209" w:type="dxa"/>
          </w:tcPr>
          <w:p w:rsidR="001B7704" w:rsidRPr="001B7704" w:rsidRDefault="001B770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Залишити  формування тарифів у вільному режимі ціноутворення за умови  відміни державного регулювання тарифів на послуги.</w:t>
            </w:r>
          </w:p>
        </w:tc>
        <w:tc>
          <w:tcPr>
            <w:tcW w:w="3210" w:type="dxa"/>
          </w:tcPr>
          <w:p w:rsidR="001B7704" w:rsidRPr="00ED745B" w:rsidRDefault="00ED745B" w:rsidP="00787714">
            <w:pPr>
              <w:pStyle w:val="a6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D745B">
              <w:rPr>
                <w:rStyle w:val="20"/>
                <w:sz w:val="24"/>
                <w:szCs w:val="24"/>
              </w:rPr>
              <w:t>Відсутні</w:t>
            </w:r>
          </w:p>
        </w:tc>
        <w:tc>
          <w:tcPr>
            <w:tcW w:w="3328" w:type="dxa"/>
          </w:tcPr>
          <w:p w:rsidR="001B7704" w:rsidRPr="001B7704" w:rsidRDefault="001B7704" w:rsidP="00787714">
            <w:pPr>
              <w:pStyle w:val="a6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1B7704">
              <w:rPr>
                <w:sz w:val="24"/>
                <w:szCs w:val="24"/>
                <w:lang w:eastAsia="uk-UA"/>
              </w:rPr>
              <w:t>Можливе надмірне зростання вартості послуг та недоступність для більшості населення.</w:t>
            </w:r>
          </w:p>
        </w:tc>
      </w:tr>
      <w:tr w:rsidR="001B7704" w:rsidTr="009A40FE">
        <w:trPr>
          <w:trHeight w:val="2041"/>
        </w:trPr>
        <w:tc>
          <w:tcPr>
            <w:tcW w:w="3209" w:type="dxa"/>
          </w:tcPr>
          <w:p w:rsidR="001B7704" w:rsidRPr="001B7704" w:rsidRDefault="001B770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Прийняти  регуляторний акт, що передбачає затвердження економічно об</w:t>
            </w:r>
            <w:r w:rsidRPr="001B7704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рунтованих тарифів на послуги.</w:t>
            </w:r>
          </w:p>
        </w:tc>
        <w:tc>
          <w:tcPr>
            <w:tcW w:w="3210" w:type="dxa"/>
          </w:tcPr>
          <w:p w:rsidR="001B7704" w:rsidRPr="001B7704" w:rsidRDefault="001B770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- Забезпечення  громадян якісними послугами за  економічно об</w:t>
            </w:r>
            <w:r w:rsidR="00561E0C" w:rsidRPr="001905C4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>рунтованими  тарифами;</w:t>
            </w:r>
          </w:p>
          <w:p w:rsidR="001B7704" w:rsidRPr="001B7704" w:rsidRDefault="001B770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 xml:space="preserve">- можливість </w:t>
            </w:r>
            <w:r w:rsidR="00200DF5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r w:rsidRPr="001B7704">
              <w:rPr>
                <w:rFonts w:ascii="Times New Roman" w:hAnsi="Times New Roman" w:cs="Times New Roman"/>
                <w:sz w:val="24"/>
                <w:szCs w:val="24"/>
              </w:rPr>
              <w:t xml:space="preserve"> щодо відшкодування витрат на надання послуг</w:t>
            </w:r>
          </w:p>
        </w:tc>
        <w:tc>
          <w:tcPr>
            <w:tcW w:w="3328" w:type="dxa"/>
          </w:tcPr>
          <w:p w:rsidR="001B7704" w:rsidRPr="001B7704" w:rsidRDefault="00ED745B" w:rsidP="00787714">
            <w:pPr>
              <w:pStyle w:val="a6"/>
              <w:shd w:val="clear" w:color="auto" w:fill="auto"/>
              <w:spacing w:line="276" w:lineRule="auto"/>
              <w:ind w:left="57" w:right="57"/>
              <w:jc w:val="both"/>
              <w:rPr>
                <w:sz w:val="24"/>
                <w:szCs w:val="24"/>
              </w:rPr>
            </w:pPr>
            <w:r w:rsidRPr="00ED745B">
              <w:rPr>
                <w:rStyle w:val="20"/>
                <w:sz w:val="24"/>
                <w:szCs w:val="24"/>
              </w:rPr>
              <w:t>Відсутні</w:t>
            </w:r>
          </w:p>
        </w:tc>
      </w:tr>
    </w:tbl>
    <w:p w:rsidR="0061177E" w:rsidRDefault="0061177E" w:rsidP="00C511B2">
      <w:pPr>
        <w:spacing w:line="322" w:lineRule="exact"/>
        <w:ind w:firstLine="800"/>
        <w:jc w:val="both"/>
      </w:pPr>
    </w:p>
    <w:p w:rsidR="00B045E5" w:rsidRPr="007347A3" w:rsidRDefault="001C630B" w:rsidP="00C10E68">
      <w:pPr>
        <w:spacing w:line="276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r w:rsidRPr="007347A3">
        <w:rPr>
          <w:rFonts w:ascii="Times New Roman" w:hAnsi="Times New Roman" w:cs="Times New Roman"/>
          <w:sz w:val="28"/>
          <w:szCs w:val="28"/>
        </w:rPr>
        <w:t>Оцінка впливу на сферу інтересів суб’єктів господарювання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417"/>
        <w:gridCol w:w="1272"/>
        <w:gridCol w:w="1445"/>
      </w:tblGrid>
      <w:tr w:rsidR="00D272B5" w:rsidRPr="00D272B5" w:rsidTr="007347A3">
        <w:tc>
          <w:tcPr>
            <w:tcW w:w="2660" w:type="dxa"/>
          </w:tcPr>
          <w:p w:rsidR="001C630B" w:rsidRPr="00D272B5" w:rsidRDefault="001C630B" w:rsidP="00073C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Style w:val="20"/>
                <w:rFonts w:eastAsia="DejaVu Sans"/>
                <w:color w:val="auto"/>
                <w:sz w:val="24"/>
                <w:szCs w:val="24"/>
              </w:rPr>
              <w:t>Показник</w:t>
            </w:r>
          </w:p>
        </w:tc>
        <w:tc>
          <w:tcPr>
            <w:tcW w:w="1417" w:type="dxa"/>
          </w:tcPr>
          <w:p w:rsidR="001C630B" w:rsidRPr="00D272B5" w:rsidRDefault="00073C8C" w:rsidP="00073C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Style w:val="212pt"/>
                <w:rFonts w:eastAsia="DejaVu Sans"/>
                <w:color w:val="auto"/>
              </w:rPr>
              <w:t>Великі</w:t>
            </w:r>
          </w:p>
        </w:tc>
        <w:tc>
          <w:tcPr>
            <w:tcW w:w="1418" w:type="dxa"/>
          </w:tcPr>
          <w:p w:rsidR="001C630B" w:rsidRPr="00D272B5" w:rsidRDefault="00073C8C" w:rsidP="00073C8C">
            <w:pPr>
              <w:jc w:val="center"/>
              <w:rPr>
                <w:color w:val="auto"/>
              </w:rPr>
            </w:pPr>
            <w:r w:rsidRPr="00D272B5">
              <w:rPr>
                <w:rStyle w:val="212pt"/>
                <w:rFonts w:eastAsia="DejaVu Sans"/>
                <w:color w:val="auto"/>
              </w:rPr>
              <w:t>Середні</w:t>
            </w:r>
          </w:p>
        </w:tc>
        <w:tc>
          <w:tcPr>
            <w:tcW w:w="1417" w:type="dxa"/>
          </w:tcPr>
          <w:p w:rsidR="001C630B" w:rsidRPr="00D272B5" w:rsidRDefault="001C630B" w:rsidP="00073C8C">
            <w:pPr>
              <w:spacing w:after="60"/>
              <w:jc w:val="center"/>
              <w:rPr>
                <w:color w:val="auto"/>
              </w:rPr>
            </w:pPr>
            <w:r w:rsidRPr="00D272B5">
              <w:rPr>
                <w:rStyle w:val="212pt"/>
                <w:rFonts w:eastAsia="DejaVu Sans"/>
                <w:color w:val="auto"/>
              </w:rPr>
              <w:t>Малі</w:t>
            </w:r>
          </w:p>
        </w:tc>
        <w:tc>
          <w:tcPr>
            <w:tcW w:w="1272" w:type="dxa"/>
          </w:tcPr>
          <w:p w:rsidR="001C630B" w:rsidRPr="00D272B5" w:rsidRDefault="001C630B" w:rsidP="00073C8C">
            <w:pPr>
              <w:spacing w:after="60"/>
              <w:jc w:val="center"/>
              <w:rPr>
                <w:color w:val="auto"/>
              </w:rPr>
            </w:pPr>
            <w:r w:rsidRPr="00D272B5">
              <w:rPr>
                <w:rStyle w:val="212pt"/>
                <w:rFonts w:eastAsia="DejaVu Sans"/>
                <w:color w:val="auto"/>
              </w:rPr>
              <w:t>Мікро</w:t>
            </w:r>
          </w:p>
        </w:tc>
        <w:tc>
          <w:tcPr>
            <w:tcW w:w="1445" w:type="dxa"/>
          </w:tcPr>
          <w:p w:rsidR="001C630B" w:rsidRPr="00D272B5" w:rsidRDefault="001C630B" w:rsidP="00073C8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Style w:val="20"/>
                <w:rFonts w:eastAsia="DejaVu Sans"/>
                <w:color w:val="auto"/>
                <w:sz w:val="24"/>
                <w:szCs w:val="24"/>
              </w:rPr>
              <w:t>Разом</w:t>
            </w:r>
          </w:p>
        </w:tc>
      </w:tr>
      <w:tr w:rsidR="00D272B5" w:rsidRPr="00D272B5" w:rsidTr="007347A3">
        <w:tc>
          <w:tcPr>
            <w:tcW w:w="2660" w:type="dxa"/>
          </w:tcPr>
          <w:p w:rsidR="001C630B" w:rsidRPr="00D272B5" w:rsidRDefault="00073C8C" w:rsidP="007877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Style w:val="20"/>
                <w:rFonts w:eastAsia="DejaVu Sans"/>
                <w:color w:val="auto"/>
                <w:sz w:val="24"/>
                <w:szCs w:val="24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417" w:type="dxa"/>
          </w:tcPr>
          <w:p w:rsidR="001C630B" w:rsidRPr="00D272B5" w:rsidRDefault="00D6103C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418" w:type="dxa"/>
          </w:tcPr>
          <w:p w:rsidR="001C630B" w:rsidRPr="00D272B5" w:rsidRDefault="00D6103C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17" w:type="dxa"/>
          </w:tcPr>
          <w:p w:rsidR="001C630B" w:rsidRPr="00D272B5" w:rsidRDefault="00D6103C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272" w:type="dxa"/>
          </w:tcPr>
          <w:p w:rsidR="001C630B" w:rsidRPr="00D272B5" w:rsidRDefault="00D6103C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45" w:type="dxa"/>
          </w:tcPr>
          <w:p w:rsidR="001C630B" w:rsidRPr="00D272B5" w:rsidRDefault="00D6103C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1C630B" w:rsidRPr="00D272B5" w:rsidTr="007347A3">
        <w:tc>
          <w:tcPr>
            <w:tcW w:w="2660" w:type="dxa"/>
          </w:tcPr>
          <w:p w:rsidR="001C630B" w:rsidRPr="00D272B5" w:rsidRDefault="00073C8C" w:rsidP="0078771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Style w:val="20"/>
                <w:rFonts w:eastAsia="DejaVu Sans"/>
                <w:color w:val="auto"/>
                <w:sz w:val="24"/>
                <w:szCs w:val="24"/>
              </w:rPr>
              <w:t>Питома вага групи у загальній кількості, відсотків</w:t>
            </w:r>
          </w:p>
        </w:tc>
        <w:tc>
          <w:tcPr>
            <w:tcW w:w="1417" w:type="dxa"/>
          </w:tcPr>
          <w:p w:rsidR="001C630B" w:rsidRPr="00D272B5" w:rsidRDefault="00D60FB0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418" w:type="dxa"/>
          </w:tcPr>
          <w:p w:rsidR="001C630B" w:rsidRPr="00D272B5" w:rsidRDefault="00D60FB0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417" w:type="dxa"/>
          </w:tcPr>
          <w:p w:rsidR="001C630B" w:rsidRPr="00D272B5" w:rsidRDefault="00D60FB0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72" w:type="dxa"/>
          </w:tcPr>
          <w:p w:rsidR="001C630B" w:rsidRPr="00D272B5" w:rsidRDefault="00D60FB0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445" w:type="dxa"/>
          </w:tcPr>
          <w:p w:rsidR="001C630B" w:rsidRPr="00D272B5" w:rsidRDefault="00D60FB0" w:rsidP="0078771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72B5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</w:tbl>
    <w:p w:rsidR="001C630B" w:rsidRPr="00D272B5" w:rsidRDefault="001C630B" w:rsidP="001C630B">
      <w:pPr>
        <w:spacing w:line="322" w:lineRule="exact"/>
        <w:jc w:val="both"/>
        <w:rPr>
          <w:rFonts w:ascii="Times New Roman" w:hAnsi="Times New Roman" w:cs="Times New Roman"/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D272B5" w:rsidRPr="00D272B5" w:rsidTr="009735E1">
        <w:trPr>
          <w:trHeight w:val="707"/>
        </w:trPr>
        <w:tc>
          <w:tcPr>
            <w:tcW w:w="3209" w:type="dxa"/>
          </w:tcPr>
          <w:p w:rsidR="009735E1" w:rsidRPr="009735E1" w:rsidRDefault="009735E1" w:rsidP="00073C8C">
            <w:pPr>
              <w:pStyle w:val="a6"/>
              <w:shd w:val="clear" w:color="auto" w:fill="auto"/>
              <w:spacing w:line="240" w:lineRule="auto"/>
              <w:jc w:val="center"/>
              <w:rPr>
                <w:rStyle w:val="20"/>
                <w:b/>
                <w:color w:val="auto"/>
                <w:sz w:val="18"/>
                <w:szCs w:val="18"/>
              </w:rPr>
            </w:pPr>
          </w:p>
          <w:p w:rsidR="00073C8C" w:rsidRPr="00D272B5" w:rsidRDefault="00073C8C" w:rsidP="00073C8C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72B5">
              <w:rPr>
                <w:rStyle w:val="20"/>
                <w:b/>
                <w:color w:val="auto"/>
                <w:sz w:val="24"/>
                <w:szCs w:val="24"/>
              </w:rPr>
              <w:t>Вид альтернативи</w:t>
            </w:r>
          </w:p>
        </w:tc>
        <w:tc>
          <w:tcPr>
            <w:tcW w:w="3210" w:type="dxa"/>
          </w:tcPr>
          <w:p w:rsidR="009735E1" w:rsidRPr="009735E1" w:rsidRDefault="009735E1" w:rsidP="00073C8C">
            <w:pPr>
              <w:pStyle w:val="a6"/>
              <w:shd w:val="clear" w:color="auto" w:fill="auto"/>
              <w:spacing w:line="240" w:lineRule="auto"/>
              <w:jc w:val="center"/>
              <w:rPr>
                <w:rStyle w:val="20"/>
                <w:b/>
                <w:color w:val="auto"/>
                <w:sz w:val="18"/>
                <w:szCs w:val="18"/>
              </w:rPr>
            </w:pPr>
          </w:p>
          <w:p w:rsidR="00073C8C" w:rsidRPr="00D272B5" w:rsidRDefault="00073C8C" w:rsidP="00073C8C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272B5">
              <w:rPr>
                <w:rStyle w:val="20"/>
                <w:b/>
                <w:color w:val="auto"/>
                <w:sz w:val="24"/>
                <w:szCs w:val="24"/>
              </w:rPr>
              <w:t>Вигоди</w:t>
            </w:r>
          </w:p>
        </w:tc>
        <w:tc>
          <w:tcPr>
            <w:tcW w:w="3210" w:type="dxa"/>
          </w:tcPr>
          <w:p w:rsidR="009735E1" w:rsidRPr="009735E1" w:rsidRDefault="009735E1" w:rsidP="00073C8C">
            <w:pPr>
              <w:jc w:val="center"/>
              <w:rPr>
                <w:rStyle w:val="20"/>
                <w:rFonts w:eastAsia="DejaVu Sans"/>
                <w:b/>
                <w:color w:val="auto"/>
                <w:sz w:val="18"/>
                <w:szCs w:val="18"/>
              </w:rPr>
            </w:pPr>
          </w:p>
          <w:p w:rsidR="00073C8C" w:rsidRPr="00D272B5" w:rsidRDefault="00073C8C" w:rsidP="00073C8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272B5">
              <w:rPr>
                <w:rStyle w:val="20"/>
                <w:rFonts w:eastAsia="DejaVu Sans"/>
                <w:b/>
                <w:color w:val="auto"/>
                <w:sz w:val="24"/>
                <w:szCs w:val="24"/>
              </w:rPr>
              <w:t>Витрати</w:t>
            </w:r>
          </w:p>
        </w:tc>
      </w:tr>
      <w:tr w:rsidR="00622C24" w:rsidRPr="00D272B5" w:rsidTr="00622C24">
        <w:trPr>
          <w:trHeight w:val="1021"/>
        </w:trPr>
        <w:tc>
          <w:tcPr>
            <w:tcW w:w="3209" w:type="dxa"/>
          </w:tcPr>
          <w:p w:rsidR="00622C24" w:rsidRPr="00622C24" w:rsidRDefault="00622C2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Залишити тарифи на платні медичні послуги без змін.</w:t>
            </w:r>
          </w:p>
        </w:tc>
        <w:tc>
          <w:tcPr>
            <w:tcW w:w="3210" w:type="dxa"/>
          </w:tcPr>
          <w:p w:rsidR="00622C24" w:rsidRPr="00622C24" w:rsidRDefault="00622C24" w:rsidP="00787714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C24">
              <w:rPr>
                <w:rStyle w:val="20"/>
                <w:rFonts w:eastAsia="DejaVu Sans"/>
                <w:color w:val="auto"/>
                <w:sz w:val="24"/>
                <w:szCs w:val="24"/>
              </w:rPr>
              <w:t>Відсутні</w:t>
            </w:r>
          </w:p>
        </w:tc>
        <w:tc>
          <w:tcPr>
            <w:tcW w:w="3210" w:type="dxa"/>
          </w:tcPr>
          <w:p w:rsidR="00622C24" w:rsidRPr="00622C24" w:rsidRDefault="00622C24" w:rsidP="00787714">
            <w:pPr>
              <w:spacing w:line="322" w:lineRule="exact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="00ED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витрати  бюджетних коштів для поліклініки.</w:t>
            </w:r>
          </w:p>
        </w:tc>
      </w:tr>
      <w:tr w:rsidR="00622C24" w:rsidTr="00622C24">
        <w:trPr>
          <w:trHeight w:val="1829"/>
        </w:trPr>
        <w:tc>
          <w:tcPr>
            <w:tcW w:w="3209" w:type="dxa"/>
          </w:tcPr>
          <w:p w:rsidR="00622C24" w:rsidRPr="00622C24" w:rsidRDefault="00622C2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Залишити  формування тарифів у вільному режимі ціноутворення за умови  відміни державного регулювання тарифів на послуги.</w:t>
            </w:r>
          </w:p>
        </w:tc>
        <w:tc>
          <w:tcPr>
            <w:tcW w:w="3210" w:type="dxa"/>
          </w:tcPr>
          <w:p w:rsidR="00622C24" w:rsidRPr="00622C24" w:rsidRDefault="00622C24" w:rsidP="0078771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Style w:val="20"/>
                <w:rFonts w:eastAsia="DejaVu Sans"/>
                <w:sz w:val="24"/>
                <w:szCs w:val="24"/>
              </w:rPr>
              <w:t>Відсутні</w:t>
            </w:r>
          </w:p>
        </w:tc>
        <w:tc>
          <w:tcPr>
            <w:tcW w:w="3210" w:type="dxa"/>
          </w:tcPr>
          <w:p w:rsidR="00622C24" w:rsidRPr="00622C24" w:rsidRDefault="00622C24" w:rsidP="00787714">
            <w:pPr>
              <w:spacing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Можливе необ</w:t>
            </w:r>
            <w:r w:rsidRPr="00622C24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рунтоване завищення розміру вартості послу</w:t>
            </w:r>
            <w:r w:rsidR="00E107C7">
              <w:rPr>
                <w:rFonts w:ascii="Times New Roman" w:hAnsi="Times New Roman" w:cs="Times New Roman"/>
                <w:sz w:val="24"/>
                <w:szCs w:val="24"/>
              </w:rPr>
              <w:t>г та, як наслідок,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 xml:space="preserve">  недоступність  послуг для більшості споживачів.</w:t>
            </w:r>
          </w:p>
        </w:tc>
      </w:tr>
      <w:tr w:rsidR="00622C24" w:rsidTr="007347A3">
        <w:trPr>
          <w:trHeight w:val="2558"/>
        </w:trPr>
        <w:tc>
          <w:tcPr>
            <w:tcW w:w="3209" w:type="dxa"/>
          </w:tcPr>
          <w:p w:rsidR="00622C24" w:rsidRPr="00622C24" w:rsidRDefault="00622C24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Прийняти  регуляторний акт, що передбачає затвердження економічно об</w:t>
            </w:r>
            <w:r w:rsidRPr="00622C24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рунтованих тарифів на послуги.</w:t>
            </w:r>
          </w:p>
        </w:tc>
        <w:tc>
          <w:tcPr>
            <w:tcW w:w="3210" w:type="dxa"/>
          </w:tcPr>
          <w:p w:rsidR="00622C24" w:rsidRPr="00622C24" w:rsidRDefault="00622C24" w:rsidP="00787714">
            <w:pPr>
              <w:spacing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Приведення тарифів на платні медичні послуги у відповідність до витрат; </w:t>
            </w:r>
          </w:p>
          <w:p w:rsidR="00622C24" w:rsidRPr="00622C24" w:rsidRDefault="00787714" w:rsidP="00787714">
            <w:pPr>
              <w:spacing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22C24" w:rsidRPr="00622C24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якості медичних послуг та матеріально-технічної бази </w:t>
            </w:r>
            <w:r w:rsidR="008B62EF">
              <w:rPr>
                <w:rFonts w:ascii="Times New Roman" w:hAnsi="Times New Roman" w:cs="Times New Roman"/>
                <w:sz w:val="24"/>
                <w:szCs w:val="24"/>
              </w:rPr>
              <w:t>поліклініки;</w:t>
            </w:r>
          </w:p>
          <w:p w:rsidR="00622C24" w:rsidRPr="00622C24" w:rsidRDefault="00622C24" w:rsidP="0078771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можливість отрима</w:t>
            </w:r>
            <w:r w:rsidR="00ED745B">
              <w:rPr>
                <w:rFonts w:ascii="Times New Roman" w:hAnsi="Times New Roman" w:cs="Times New Roman"/>
                <w:sz w:val="24"/>
                <w:szCs w:val="24"/>
              </w:rPr>
              <w:t>ння  якісних послуг  за еконо</w:t>
            </w:r>
            <w:r w:rsidR="008B62EF">
              <w:rPr>
                <w:rFonts w:ascii="Times New Roman" w:hAnsi="Times New Roman" w:cs="Times New Roman"/>
                <w:sz w:val="24"/>
                <w:szCs w:val="24"/>
              </w:rPr>
              <w:t xml:space="preserve">мічно 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D745B" w:rsidRPr="00622C24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рунтованими тарифами</w:t>
            </w:r>
            <w:r w:rsidR="00ED7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622C24" w:rsidRPr="00622C24" w:rsidRDefault="00622C24" w:rsidP="0078771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Збільше</w:t>
            </w:r>
            <w:r w:rsidR="0086743A">
              <w:rPr>
                <w:rFonts w:ascii="Times New Roman" w:hAnsi="Times New Roman" w:cs="Times New Roman"/>
                <w:sz w:val="24"/>
                <w:szCs w:val="24"/>
              </w:rPr>
              <w:t xml:space="preserve">ння тарифів на платні послуги 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дадуть змогу для покращення надання медичних послуг та покриття витрат на їх надання</w:t>
            </w:r>
            <w:r w:rsidR="00ED7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0E68" w:rsidRDefault="00C10E68" w:rsidP="007347A3">
      <w:pPr>
        <w:spacing w:line="331" w:lineRule="exac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E71" w:rsidRDefault="00BA1E71" w:rsidP="008B62EF">
      <w:pPr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3C8C" w:rsidRPr="008B62EF" w:rsidRDefault="001C630B" w:rsidP="008B62EF">
      <w:pPr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2E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Кількісне визначення витрат, які будуть виникати внаслідок дії регуляторного </w:t>
      </w:r>
      <w:proofErr w:type="spellStart"/>
      <w:r w:rsidRPr="008B62EF">
        <w:rPr>
          <w:rFonts w:ascii="Times New Roman" w:hAnsi="Times New Roman" w:cs="Times New Roman"/>
          <w:color w:val="auto"/>
          <w:sz w:val="28"/>
          <w:szCs w:val="28"/>
        </w:rPr>
        <w:t>акта</w:t>
      </w:r>
      <w:bookmarkStart w:id="4" w:name="_GoBack"/>
      <w:bookmarkEnd w:id="4"/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3"/>
        <w:gridCol w:w="2491"/>
      </w:tblGrid>
      <w:tr w:rsidR="001E367B" w:rsidRPr="001E367B" w:rsidTr="00ED745B">
        <w:trPr>
          <w:trHeight w:hRule="exact" w:val="295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C8C" w:rsidRPr="00D009D6" w:rsidRDefault="00073C8C" w:rsidP="00ED745B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9D6">
              <w:rPr>
                <w:rStyle w:val="20"/>
                <w:rFonts w:eastAsia="DejaVu Sans"/>
                <w:b/>
                <w:color w:val="auto"/>
                <w:sz w:val="24"/>
                <w:szCs w:val="24"/>
              </w:rPr>
              <w:t>Сумарні витрати за альтернативами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C8C" w:rsidRPr="00D009D6" w:rsidRDefault="00073C8C" w:rsidP="00ED745B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9D6">
              <w:rPr>
                <w:rStyle w:val="20"/>
                <w:rFonts w:eastAsia="DejaVu Sans"/>
                <w:b/>
                <w:color w:val="auto"/>
                <w:sz w:val="24"/>
                <w:szCs w:val="24"/>
              </w:rPr>
              <w:t>Сума витрат, грн.</w:t>
            </w:r>
          </w:p>
        </w:tc>
      </w:tr>
      <w:tr w:rsidR="001E367B" w:rsidRPr="001E367B" w:rsidTr="00ED745B">
        <w:trPr>
          <w:trHeight w:hRule="exact" w:val="426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5B" w:rsidRPr="00D009D6" w:rsidRDefault="00ED745B" w:rsidP="00787714">
            <w:pPr>
              <w:framePr w:w="9384" w:wrap="notBeside" w:vAnchor="text" w:hAnchor="text" w:xAlign="center" w:y="1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09D6">
              <w:rPr>
                <w:rFonts w:ascii="Times New Roman" w:hAnsi="Times New Roman" w:cs="Times New Roman"/>
                <w:color w:val="auto"/>
              </w:rPr>
              <w:t>Залишити тарифи на платні медичні послуги без змін.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5B" w:rsidRPr="00D009D6" w:rsidRDefault="00D009D6" w:rsidP="00787714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9D6">
              <w:rPr>
                <w:rFonts w:ascii="Times New Roman" w:hAnsi="Times New Roman" w:cs="Times New Roman"/>
                <w:color w:val="auto"/>
              </w:rPr>
              <w:t>5660,69</w:t>
            </w:r>
          </w:p>
        </w:tc>
      </w:tr>
      <w:tr w:rsidR="001E367B" w:rsidRPr="001E367B" w:rsidTr="00ED745B">
        <w:trPr>
          <w:trHeight w:hRule="exact" w:val="714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45B" w:rsidRPr="00D009D6" w:rsidRDefault="00ED745B" w:rsidP="00787714">
            <w:pPr>
              <w:framePr w:w="9384" w:wrap="notBeside" w:vAnchor="text" w:hAnchor="text" w:xAlign="center" w:y="1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09D6">
              <w:rPr>
                <w:rFonts w:ascii="Times New Roman" w:hAnsi="Times New Roman" w:cs="Times New Roman"/>
                <w:color w:val="auto"/>
              </w:rPr>
              <w:t>Залишити  формування тарифів у вільному режимі ціноутворення за умови  відміни державного регулювання тарифів на послуги.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45B" w:rsidRPr="00D009D6" w:rsidRDefault="00ED745B" w:rsidP="00787714">
            <w:pPr>
              <w:framePr w:w="9384" w:wrap="notBeside" w:vAnchor="text" w:hAnchor="text" w:xAlign="center" w:y="1"/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9D6">
              <w:rPr>
                <w:rFonts w:ascii="Times New Roman" w:hAnsi="Times New Roman" w:cs="Times New Roman"/>
                <w:color w:val="auto"/>
              </w:rPr>
              <w:t>Обчислити немає можливості</w:t>
            </w:r>
          </w:p>
          <w:p w:rsidR="00ED745B" w:rsidRPr="00D009D6" w:rsidRDefault="00ED745B" w:rsidP="00787714">
            <w:pPr>
              <w:framePr w:w="9384" w:wrap="notBeside" w:vAnchor="text" w:hAnchor="text" w:xAlign="center" w:y="1"/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67B" w:rsidRPr="001E367B" w:rsidTr="00ED745B">
        <w:trPr>
          <w:trHeight w:hRule="exact" w:val="698"/>
          <w:jc w:val="center"/>
        </w:trPr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45B" w:rsidRPr="00D009D6" w:rsidRDefault="00ED745B" w:rsidP="00787714">
            <w:pPr>
              <w:framePr w:w="9384" w:wrap="notBeside" w:vAnchor="text" w:hAnchor="text" w:xAlign="center" w:y="1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D009D6">
              <w:rPr>
                <w:rFonts w:ascii="Times New Roman" w:hAnsi="Times New Roman" w:cs="Times New Roman"/>
                <w:color w:val="auto"/>
              </w:rPr>
              <w:t>Прийняти  регуляторний акт, що передбачає затвердження економічно об</w:t>
            </w:r>
            <w:r w:rsidRPr="00D009D6">
              <w:rPr>
                <w:rStyle w:val="20"/>
                <w:rFonts w:eastAsia="DejaVu Sans"/>
                <w:color w:val="auto"/>
                <w:sz w:val="24"/>
                <w:szCs w:val="24"/>
              </w:rPr>
              <w:t>ґ</w:t>
            </w:r>
            <w:r w:rsidRPr="00D009D6">
              <w:rPr>
                <w:rFonts w:ascii="Times New Roman" w:hAnsi="Times New Roman" w:cs="Times New Roman"/>
                <w:color w:val="auto"/>
              </w:rPr>
              <w:t>рунтованих тарифів на послуги.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45B" w:rsidRPr="00D009D6" w:rsidRDefault="00ED745B" w:rsidP="00787714">
            <w:pPr>
              <w:framePr w:w="9384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9D6">
              <w:rPr>
                <w:rFonts w:ascii="Times New Roman" w:hAnsi="Times New Roman" w:cs="Times New Roman"/>
                <w:color w:val="auto"/>
              </w:rPr>
              <w:t>6289,65</w:t>
            </w:r>
          </w:p>
        </w:tc>
      </w:tr>
    </w:tbl>
    <w:p w:rsidR="00073C8C" w:rsidRPr="001E367B" w:rsidRDefault="00073C8C" w:rsidP="00073C8C">
      <w:pPr>
        <w:framePr w:w="9384" w:wrap="notBeside" w:vAnchor="text" w:hAnchor="text" w:xAlign="center" w:y="1"/>
        <w:rPr>
          <w:b/>
          <w:color w:val="FF0000"/>
          <w:sz w:val="2"/>
          <w:szCs w:val="2"/>
        </w:rPr>
      </w:pPr>
    </w:p>
    <w:p w:rsidR="005A5BCD" w:rsidRDefault="005A5BCD" w:rsidP="00C10E68">
      <w:pPr>
        <w:spacing w:line="276" w:lineRule="auto"/>
      </w:pPr>
    </w:p>
    <w:p w:rsidR="005A5BCD" w:rsidRPr="005A5BCD" w:rsidRDefault="00ED745B" w:rsidP="009C4059">
      <w:pPr>
        <w:keepNext/>
        <w:keepLines/>
        <w:tabs>
          <w:tab w:val="left" w:pos="1314"/>
        </w:tabs>
        <w:spacing w:line="276" w:lineRule="auto"/>
        <w:ind w:firstLine="709"/>
        <w:jc w:val="both"/>
        <w:outlineLvl w:val="0"/>
      </w:pPr>
      <w:bookmarkStart w:id="5" w:name="bookmark5"/>
      <w:r>
        <w:rPr>
          <w:rStyle w:val="10"/>
          <w:rFonts w:eastAsia="DejaVu Sans"/>
          <w:bCs w:val="0"/>
          <w:lang w:val="en-US"/>
        </w:rPr>
        <w:t>IV</w:t>
      </w:r>
      <w:r w:rsidRPr="00ED745B">
        <w:rPr>
          <w:rStyle w:val="10"/>
          <w:rFonts w:eastAsia="DejaVu Sans"/>
          <w:bCs w:val="0"/>
          <w:lang w:val="ru-RU"/>
        </w:rPr>
        <w:t>.</w:t>
      </w:r>
      <w:r>
        <w:rPr>
          <w:rStyle w:val="10"/>
          <w:rFonts w:eastAsia="DejaVu Sans"/>
          <w:bCs w:val="0"/>
          <w:lang w:val="en-US"/>
        </w:rPr>
        <w:t> </w:t>
      </w:r>
      <w:r w:rsidR="005A5BCD" w:rsidRPr="005A5BCD">
        <w:rPr>
          <w:rStyle w:val="10"/>
          <w:rFonts w:eastAsia="DejaVu Sans"/>
          <w:bCs w:val="0"/>
        </w:rPr>
        <w:t>Вибір найбільш оптимального альтернативного способу досягнення цілей</w:t>
      </w:r>
      <w:bookmarkEnd w:id="5"/>
    </w:p>
    <w:p w:rsidR="005A5BCD" w:rsidRPr="007347A3" w:rsidRDefault="00126F27" w:rsidP="009C40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 оптимальним альтернативним способом досягнення цілей є</w:t>
      </w:r>
      <w:r w:rsidR="005A5BCD" w:rsidRPr="007347A3">
        <w:rPr>
          <w:rFonts w:ascii="Times New Roman" w:hAnsi="Times New Roman" w:cs="Times New Roman"/>
          <w:sz w:val="28"/>
          <w:szCs w:val="28"/>
        </w:rPr>
        <w:t xml:space="preserve"> встановлення тарифів на </w:t>
      </w:r>
      <w:r w:rsidR="00F93538" w:rsidRPr="007347A3">
        <w:rPr>
          <w:rFonts w:ascii="Times New Roman" w:hAnsi="Times New Roman" w:cs="Times New Roman"/>
          <w:sz w:val="28"/>
          <w:szCs w:val="28"/>
        </w:rPr>
        <w:t>послуги</w:t>
      </w:r>
      <w:r w:rsidR="005A5BCD" w:rsidRPr="007347A3">
        <w:rPr>
          <w:rFonts w:ascii="Times New Roman" w:hAnsi="Times New Roman" w:cs="Times New Roman"/>
          <w:sz w:val="28"/>
          <w:szCs w:val="28"/>
        </w:rPr>
        <w:t xml:space="preserve"> </w:t>
      </w:r>
      <w:r w:rsidR="00F93538" w:rsidRPr="007347A3">
        <w:rPr>
          <w:rFonts w:ascii="Times New Roman" w:hAnsi="Times New Roman" w:cs="Times New Roman"/>
          <w:sz w:val="28"/>
          <w:szCs w:val="28"/>
        </w:rPr>
        <w:t>комунального підприємства «Ковельська полікл</w:t>
      </w:r>
      <w:r>
        <w:rPr>
          <w:rFonts w:ascii="Times New Roman" w:hAnsi="Times New Roman" w:cs="Times New Roman"/>
          <w:sz w:val="28"/>
          <w:szCs w:val="28"/>
        </w:rPr>
        <w:t>ініка Волинської обласної ради»</w:t>
      </w:r>
      <w:r w:rsidR="00BE7A47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D009D6">
        <w:rPr>
          <w:rFonts w:ascii="Times New Roman" w:hAnsi="Times New Roman" w:cs="Times New Roman"/>
          <w:sz w:val="28"/>
          <w:szCs w:val="28"/>
        </w:rPr>
        <w:t xml:space="preserve"> </w:t>
      </w:r>
      <w:r w:rsidR="005A5BCD" w:rsidRPr="007347A3">
        <w:rPr>
          <w:rFonts w:ascii="Times New Roman" w:hAnsi="Times New Roman" w:cs="Times New Roman"/>
          <w:sz w:val="28"/>
          <w:szCs w:val="28"/>
        </w:rPr>
        <w:t>проект</w:t>
      </w:r>
      <w:r w:rsidR="00BE7A47">
        <w:rPr>
          <w:rFonts w:ascii="Times New Roman" w:hAnsi="Times New Roman" w:cs="Times New Roman"/>
          <w:sz w:val="28"/>
          <w:szCs w:val="28"/>
        </w:rPr>
        <w:t>у</w:t>
      </w:r>
      <w:r w:rsidR="00F93538" w:rsidRPr="007347A3">
        <w:rPr>
          <w:rFonts w:ascii="Times New Roman" w:hAnsi="Times New Roman" w:cs="Times New Roman"/>
          <w:sz w:val="28"/>
          <w:szCs w:val="28"/>
        </w:rPr>
        <w:t xml:space="preserve"> </w:t>
      </w:r>
      <w:r w:rsidR="005A5BCD" w:rsidRPr="007347A3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F93538" w:rsidRPr="007347A3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5A5BCD" w:rsidRPr="007347A3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="00F93538" w:rsidRPr="007347A3">
        <w:rPr>
          <w:rFonts w:ascii="Times New Roman" w:hAnsi="Times New Roman" w:cs="Times New Roman"/>
          <w:sz w:val="28"/>
          <w:szCs w:val="28"/>
        </w:rPr>
        <w:t>«Про встановлення тарифів на платні послуги, які надаються комунальним підприємством «Ковельська полік</w:t>
      </w:r>
      <w:r w:rsidR="00117AA0">
        <w:rPr>
          <w:rFonts w:ascii="Times New Roman" w:hAnsi="Times New Roman" w:cs="Times New Roman"/>
          <w:sz w:val="28"/>
          <w:szCs w:val="28"/>
        </w:rPr>
        <w:t>лініка Волинської обласної ради</w:t>
      </w:r>
      <w:r w:rsidR="00F93538" w:rsidRPr="007347A3">
        <w:rPr>
          <w:rFonts w:ascii="Times New Roman" w:hAnsi="Times New Roman" w:cs="Times New Roman"/>
          <w:sz w:val="28"/>
          <w:szCs w:val="28"/>
        </w:rPr>
        <w:t>»</w:t>
      </w:r>
      <w:r w:rsidR="00BE7A47">
        <w:rPr>
          <w:rFonts w:ascii="Times New Roman" w:hAnsi="Times New Roman" w:cs="Times New Roman"/>
          <w:sz w:val="28"/>
          <w:szCs w:val="28"/>
        </w:rPr>
        <w:t>,</w:t>
      </w:r>
      <w:r w:rsidR="005A5BCD" w:rsidRPr="007347A3">
        <w:rPr>
          <w:rFonts w:ascii="Times New Roman" w:hAnsi="Times New Roman" w:cs="Times New Roman"/>
          <w:sz w:val="28"/>
          <w:szCs w:val="28"/>
        </w:rPr>
        <w:t xml:space="preserve"> у економічно обґрунтованому розмірі.</w:t>
      </w:r>
    </w:p>
    <w:p w:rsidR="00F93538" w:rsidRDefault="00F93538" w:rsidP="00F93538">
      <w:pPr>
        <w:spacing w:line="322" w:lineRule="exact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2740"/>
        <w:gridCol w:w="3680"/>
      </w:tblGrid>
      <w:tr w:rsidR="00F93538" w:rsidTr="00FA7603">
        <w:tc>
          <w:tcPr>
            <w:tcW w:w="3209" w:type="dxa"/>
          </w:tcPr>
          <w:p w:rsidR="00F93538" w:rsidRPr="007347A3" w:rsidRDefault="00F93538" w:rsidP="00FA7603">
            <w:pPr>
              <w:jc w:val="center"/>
              <w:rPr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740" w:type="dxa"/>
          </w:tcPr>
          <w:p w:rsidR="00F93538" w:rsidRPr="007347A3" w:rsidRDefault="00F93538" w:rsidP="00FA7603">
            <w:pPr>
              <w:jc w:val="center"/>
              <w:rPr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Бал</w:t>
            </w:r>
          </w:p>
          <w:p w:rsidR="00F93538" w:rsidRPr="007347A3" w:rsidRDefault="00F93538" w:rsidP="00FA7603">
            <w:pPr>
              <w:jc w:val="center"/>
              <w:rPr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результативності (за чотирибальною системою оцінки)</w:t>
            </w:r>
          </w:p>
        </w:tc>
        <w:tc>
          <w:tcPr>
            <w:tcW w:w="3680" w:type="dxa"/>
          </w:tcPr>
          <w:p w:rsidR="00F93538" w:rsidRPr="007347A3" w:rsidRDefault="00F93538" w:rsidP="00FA7603">
            <w:pPr>
              <w:jc w:val="center"/>
              <w:rPr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Коментарі щодо присвоєння відповідного бала</w:t>
            </w:r>
          </w:p>
        </w:tc>
      </w:tr>
      <w:tr w:rsidR="00857B55" w:rsidTr="00FA7603">
        <w:tc>
          <w:tcPr>
            <w:tcW w:w="3209" w:type="dxa"/>
          </w:tcPr>
          <w:p w:rsidR="00857B55" w:rsidRPr="00622C24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Залишити тарифи на платні медичні послуги без змін.</w:t>
            </w:r>
          </w:p>
        </w:tc>
        <w:tc>
          <w:tcPr>
            <w:tcW w:w="2740" w:type="dxa"/>
          </w:tcPr>
          <w:p w:rsidR="00857B55" w:rsidRPr="007347A3" w:rsidRDefault="00857B55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857B55" w:rsidRPr="00857B55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5">
              <w:rPr>
                <w:rFonts w:ascii="Times New Roman" w:hAnsi="Times New Roman" w:cs="Times New Roman"/>
                <w:sz w:val="24"/>
                <w:szCs w:val="24"/>
              </w:rPr>
              <w:t>Не сприяє розв’язанню визначеної проблеми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B55" w:rsidTr="007347A3">
        <w:trPr>
          <w:trHeight w:val="981"/>
        </w:trPr>
        <w:tc>
          <w:tcPr>
            <w:tcW w:w="3209" w:type="dxa"/>
          </w:tcPr>
          <w:p w:rsidR="00857B55" w:rsidRPr="00622C24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Залишити  формування тарифів у вільному режимі ціноутворення за умови  відміни державного регулювання тарифів на послуги.</w:t>
            </w:r>
          </w:p>
        </w:tc>
        <w:tc>
          <w:tcPr>
            <w:tcW w:w="2740" w:type="dxa"/>
          </w:tcPr>
          <w:p w:rsidR="00857B55" w:rsidRPr="007347A3" w:rsidRDefault="00857B55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857B55" w:rsidRPr="00857B55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5">
              <w:rPr>
                <w:rFonts w:ascii="Times New Roman" w:hAnsi="Times New Roman" w:cs="Times New Roman"/>
                <w:sz w:val="24"/>
                <w:szCs w:val="24"/>
              </w:rPr>
              <w:t>Не сприяє розв’язанню виз</w:t>
            </w:r>
            <w:r w:rsidR="00F7573C">
              <w:rPr>
                <w:rFonts w:ascii="Times New Roman" w:hAnsi="Times New Roman" w:cs="Times New Roman"/>
                <w:sz w:val="24"/>
                <w:szCs w:val="24"/>
              </w:rPr>
              <w:t xml:space="preserve">наченої проблеми    та  не </w:t>
            </w:r>
            <w:r w:rsidRPr="00857B55">
              <w:rPr>
                <w:rFonts w:ascii="Times New Roman" w:hAnsi="Times New Roman" w:cs="Times New Roman"/>
                <w:sz w:val="24"/>
                <w:szCs w:val="24"/>
              </w:rPr>
              <w:t>можливе без внесення  відповідних змін  до законодавчих 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B55" w:rsidTr="00857B55">
        <w:trPr>
          <w:trHeight w:val="1416"/>
        </w:trPr>
        <w:tc>
          <w:tcPr>
            <w:tcW w:w="3209" w:type="dxa"/>
          </w:tcPr>
          <w:p w:rsidR="00857B55" w:rsidRPr="00622C24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Прийняти  регуляторний акт, що передбачає затвердження економічно об</w:t>
            </w:r>
            <w:r w:rsidRPr="00622C24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622C24">
              <w:rPr>
                <w:rFonts w:ascii="Times New Roman" w:hAnsi="Times New Roman" w:cs="Times New Roman"/>
                <w:sz w:val="24"/>
                <w:szCs w:val="24"/>
              </w:rPr>
              <w:t>рунтованих тарифів на послуги.</w:t>
            </w:r>
          </w:p>
        </w:tc>
        <w:tc>
          <w:tcPr>
            <w:tcW w:w="2740" w:type="dxa"/>
          </w:tcPr>
          <w:p w:rsidR="00857B55" w:rsidRPr="007347A3" w:rsidRDefault="00857B55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857B55" w:rsidRPr="00857B55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5">
              <w:rPr>
                <w:rFonts w:ascii="Times New Roman" w:hAnsi="Times New Roman" w:cs="Times New Roman"/>
                <w:sz w:val="24"/>
                <w:szCs w:val="24"/>
              </w:rPr>
              <w:t>При прийнятті даного регуляторного акту усі важливі проблем</w:t>
            </w:r>
            <w:r w:rsidR="005E3CA0">
              <w:rPr>
                <w:rFonts w:ascii="Times New Roman" w:hAnsi="Times New Roman" w:cs="Times New Roman"/>
                <w:sz w:val="24"/>
                <w:szCs w:val="24"/>
              </w:rPr>
              <w:t>ні аспекти</w:t>
            </w:r>
            <w:r w:rsidRPr="0085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CA0">
              <w:rPr>
                <w:rFonts w:ascii="Times New Roman" w:hAnsi="Times New Roman" w:cs="Times New Roman"/>
                <w:sz w:val="24"/>
                <w:szCs w:val="24"/>
              </w:rPr>
              <w:t>вирішуються</w:t>
            </w:r>
            <w:r w:rsidRPr="00857B55">
              <w:rPr>
                <w:rFonts w:ascii="Times New Roman" w:hAnsi="Times New Roman" w:cs="Times New Roman"/>
                <w:sz w:val="24"/>
                <w:szCs w:val="24"/>
              </w:rPr>
              <w:t xml:space="preserve"> та будуть досягнуті  майже повною мірою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7603" w:rsidRDefault="00FA7603" w:rsidP="00FA7603">
      <w:pPr>
        <w:spacing w:line="322" w:lineRule="exact"/>
        <w:jc w:val="both"/>
      </w:pPr>
    </w:p>
    <w:p w:rsidR="00BA1E71" w:rsidRDefault="00BA1E71" w:rsidP="00FA7603">
      <w:pPr>
        <w:spacing w:line="322" w:lineRule="exact"/>
        <w:jc w:val="both"/>
      </w:pPr>
    </w:p>
    <w:p w:rsidR="00BA1E71" w:rsidRDefault="00BA1E71" w:rsidP="00FA7603">
      <w:pPr>
        <w:spacing w:line="322" w:lineRule="exact"/>
        <w:jc w:val="both"/>
      </w:pPr>
    </w:p>
    <w:p w:rsidR="00BA1E71" w:rsidRDefault="00BA1E71" w:rsidP="00FA7603">
      <w:pPr>
        <w:spacing w:line="322" w:lineRule="exact"/>
        <w:jc w:val="both"/>
      </w:pPr>
    </w:p>
    <w:p w:rsidR="00BA1E71" w:rsidRDefault="00BA1E71" w:rsidP="00FA7603">
      <w:pPr>
        <w:spacing w:line="322" w:lineRule="exact"/>
        <w:jc w:val="both"/>
      </w:pPr>
    </w:p>
    <w:p w:rsidR="00BA1E71" w:rsidRDefault="00BA1E71" w:rsidP="00FA7603">
      <w:pPr>
        <w:spacing w:line="322" w:lineRule="exact"/>
        <w:jc w:val="both"/>
      </w:pPr>
    </w:p>
    <w:p w:rsidR="00BA1E71" w:rsidRDefault="00BA1E71" w:rsidP="00FA7603">
      <w:pPr>
        <w:spacing w:line="322" w:lineRule="exact"/>
        <w:jc w:val="both"/>
      </w:pPr>
    </w:p>
    <w:p w:rsidR="00BA1E71" w:rsidRDefault="00BA1E71" w:rsidP="00FA7603">
      <w:pPr>
        <w:spacing w:line="322" w:lineRule="exact"/>
        <w:jc w:val="both"/>
      </w:pPr>
    </w:p>
    <w:p w:rsidR="005E3CA0" w:rsidRDefault="005E3CA0" w:rsidP="00FA7603">
      <w:pPr>
        <w:spacing w:line="322" w:lineRule="exact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07"/>
        <w:gridCol w:w="2221"/>
        <w:gridCol w:w="2108"/>
        <w:gridCol w:w="2570"/>
      </w:tblGrid>
      <w:tr w:rsidR="00FA7603" w:rsidTr="005E3CA0">
        <w:tc>
          <w:tcPr>
            <w:tcW w:w="2707" w:type="dxa"/>
          </w:tcPr>
          <w:p w:rsidR="00FA7603" w:rsidRPr="007347A3" w:rsidRDefault="00FA7603" w:rsidP="005E3C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lastRenderedPageBreak/>
              <w:t>Рейтинг результативності</w:t>
            </w:r>
          </w:p>
        </w:tc>
        <w:tc>
          <w:tcPr>
            <w:tcW w:w="2221" w:type="dxa"/>
          </w:tcPr>
          <w:p w:rsidR="00FA7603" w:rsidRPr="007347A3" w:rsidRDefault="00FA7603" w:rsidP="005E3C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Вигоди</w:t>
            </w:r>
          </w:p>
          <w:p w:rsidR="00FA7603" w:rsidRPr="007347A3" w:rsidRDefault="00FA7603" w:rsidP="005E3C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(підсумок)</w:t>
            </w:r>
          </w:p>
        </w:tc>
        <w:tc>
          <w:tcPr>
            <w:tcW w:w="2108" w:type="dxa"/>
          </w:tcPr>
          <w:p w:rsidR="00FA7603" w:rsidRPr="007347A3" w:rsidRDefault="00FA7603" w:rsidP="005E3CA0">
            <w:pPr>
              <w:spacing w:line="276" w:lineRule="auto"/>
              <w:ind w:left="300"/>
              <w:jc w:val="center"/>
              <w:rPr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Витрати</w:t>
            </w:r>
          </w:p>
          <w:p w:rsidR="00FA7603" w:rsidRPr="007347A3" w:rsidRDefault="00FA7603" w:rsidP="005E3C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(підсумок)</w:t>
            </w:r>
          </w:p>
        </w:tc>
        <w:tc>
          <w:tcPr>
            <w:tcW w:w="2570" w:type="dxa"/>
          </w:tcPr>
          <w:p w:rsidR="00FA7603" w:rsidRPr="007347A3" w:rsidRDefault="00FA7603" w:rsidP="005E3CA0">
            <w:pPr>
              <w:spacing w:line="276" w:lineRule="auto"/>
              <w:ind w:left="240"/>
              <w:jc w:val="center"/>
              <w:rPr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Обґрунтування</w:t>
            </w:r>
          </w:p>
          <w:p w:rsidR="00FA7603" w:rsidRPr="007347A3" w:rsidRDefault="00FA7603" w:rsidP="005E3CA0">
            <w:pPr>
              <w:spacing w:line="276" w:lineRule="auto"/>
              <w:ind w:left="380"/>
              <w:jc w:val="center"/>
              <w:rPr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відповідного</w:t>
            </w:r>
          </w:p>
          <w:p w:rsidR="00FA7603" w:rsidRPr="007347A3" w:rsidRDefault="00FA7603" w:rsidP="005E3C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місця</w:t>
            </w:r>
          </w:p>
          <w:p w:rsidR="00FA7603" w:rsidRPr="007347A3" w:rsidRDefault="00FA7603" w:rsidP="005E3CA0">
            <w:pPr>
              <w:spacing w:line="276" w:lineRule="auto"/>
              <w:ind w:left="300"/>
              <w:jc w:val="center"/>
              <w:rPr>
                <w:rStyle w:val="20"/>
                <w:rFonts w:eastAsia="DejaVu Sans"/>
                <w:b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sz w:val="24"/>
                <w:szCs w:val="24"/>
              </w:rPr>
              <w:t>альтернативи у рейтингу</w:t>
            </w:r>
          </w:p>
        </w:tc>
      </w:tr>
      <w:tr w:rsidR="00857B55" w:rsidTr="005E3CA0">
        <w:trPr>
          <w:trHeight w:val="2257"/>
        </w:trPr>
        <w:tc>
          <w:tcPr>
            <w:tcW w:w="2707" w:type="dxa"/>
          </w:tcPr>
          <w:p w:rsidR="00857B55" w:rsidRPr="00D43359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Залишити тарифи на платні медичні послуги без змін.</w:t>
            </w:r>
          </w:p>
        </w:tc>
        <w:tc>
          <w:tcPr>
            <w:tcW w:w="2221" w:type="dxa"/>
          </w:tcPr>
          <w:p w:rsidR="00857B55" w:rsidRPr="00D43359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Вигоди для поліклініки відсутні;</w:t>
            </w:r>
          </w:p>
          <w:p w:rsidR="00857B55" w:rsidRPr="00D43359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дозволяє споживачам послуг не витрачати додаткові кошти у разі підвищення тарифів на медичні  послуги.</w:t>
            </w:r>
          </w:p>
        </w:tc>
        <w:tc>
          <w:tcPr>
            <w:tcW w:w="2108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857B55" w:rsidRPr="00D43359">
              <w:rPr>
                <w:rFonts w:ascii="Times New Roman" w:hAnsi="Times New Roman" w:cs="Times New Roman"/>
                <w:sz w:val="24"/>
                <w:szCs w:val="24"/>
              </w:rPr>
              <w:t>Додаткові витрати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B55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857B55" w:rsidRPr="00D43359">
              <w:rPr>
                <w:rFonts w:ascii="Times New Roman" w:hAnsi="Times New Roman" w:cs="Times New Roman"/>
                <w:sz w:val="24"/>
                <w:szCs w:val="24"/>
              </w:rPr>
              <w:t>збиткова  діяльність поліклініки.</w:t>
            </w:r>
          </w:p>
        </w:tc>
        <w:tc>
          <w:tcPr>
            <w:tcW w:w="2570" w:type="dxa"/>
          </w:tcPr>
          <w:p w:rsidR="00857B55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857B55" w:rsidRPr="00D43359">
              <w:rPr>
                <w:rFonts w:ascii="Times New Roman" w:hAnsi="Times New Roman" w:cs="Times New Roman"/>
                <w:sz w:val="24"/>
                <w:szCs w:val="24"/>
              </w:rPr>
              <w:t>При збереженні існуючих тарифів  цілі регуляторн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ого акту не будуть досягнуті;</w:t>
            </w:r>
          </w:p>
          <w:p w:rsidR="00857B55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н</w:t>
            </w:r>
            <w:r w:rsidR="00857B55" w:rsidRPr="00D43359">
              <w:rPr>
                <w:rFonts w:ascii="Times New Roman" w:hAnsi="Times New Roman" w:cs="Times New Roman"/>
                <w:sz w:val="24"/>
                <w:szCs w:val="24"/>
              </w:rPr>
              <w:t>е відповіда</w:t>
            </w:r>
            <w:r w:rsidR="005E3CA0">
              <w:rPr>
                <w:rFonts w:ascii="Times New Roman" w:hAnsi="Times New Roman" w:cs="Times New Roman"/>
                <w:sz w:val="24"/>
                <w:szCs w:val="24"/>
              </w:rPr>
              <w:t>є вимогам чинного законодавства</w:t>
            </w:r>
            <w:r w:rsidR="00857B55" w:rsidRPr="00D4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CA0">
              <w:rPr>
                <w:rFonts w:ascii="Times New Roman" w:hAnsi="Times New Roman" w:cs="Times New Roman"/>
                <w:sz w:val="24"/>
                <w:szCs w:val="24"/>
              </w:rPr>
              <w:t xml:space="preserve">України </w:t>
            </w:r>
            <w:r w:rsidR="00857B55" w:rsidRPr="00D43359">
              <w:rPr>
                <w:rFonts w:ascii="Times New Roman" w:hAnsi="Times New Roman" w:cs="Times New Roman"/>
                <w:sz w:val="24"/>
                <w:szCs w:val="24"/>
              </w:rPr>
              <w:t>щодо економічної об</w:t>
            </w:r>
            <w:r w:rsidR="00857B55" w:rsidRPr="00D43359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="00857B55" w:rsidRPr="00D43359">
              <w:rPr>
                <w:rFonts w:ascii="Times New Roman" w:hAnsi="Times New Roman" w:cs="Times New Roman"/>
                <w:sz w:val="24"/>
                <w:szCs w:val="24"/>
              </w:rPr>
              <w:t>рунтованості тарифів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359" w:rsidTr="005E3CA0">
        <w:tc>
          <w:tcPr>
            <w:tcW w:w="2707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Залишити  формування тарифів у вільному режимі ціноутворення за умови  відміни державного регулювання тарифів на послуги.</w:t>
            </w:r>
          </w:p>
        </w:tc>
        <w:tc>
          <w:tcPr>
            <w:tcW w:w="2221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2108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Можливе необ</w:t>
            </w:r>
            <w:r w:rsidRPr="00D43359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рунтоване  підвищення тарифів, як наслідок – надмірна плата за отримані послуги  споживачами.</w:t>
            </w:r>
          </w:p>
        </w:tc>
        <w:tc>
          <w:tcPr>
            <w:tcW w:w="2570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Цілі регуляторного акту  не будуть досягнуті;</w:t>
            </w:r>
          </w:p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не відповідає вимогам чинного законодавства України;</w:t>
            </w:r>
          </w:p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можливе зростання вартості послуг та їх недоступність для більшості населення.</w:t>
            </w:r>
          </w:p>
        </w:tc>
      </w:tr>
      <w:tr w:rsidR="00857B55" w:rsidTr="005E3CA0">
        <w:tc>
          <w:tcPr>
            <w:tcW w:w="2707" w:type="dxa"/>
          </w:tcPr>
          <w:p w:rsidR="00857B55" w:rsidRPr="00D43359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Прийняти  регуляторний акт, що передбачає затвердження економічно об</w:t>
            </w:r>
            <w:r w:rsidRPr="00D43359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рунтованих тарифів на послуги.</w:t>
            </w:r>
          </w:p>
        </w:tc>
        <w:tc>
          <w:tcPr>
            <w:tcW w:w="2221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Приведення вартості послуг до економічно об</w:t>
            </w:r>
            <w:r w:rsidRPr="00D43359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рунтованого  рівня;</w:t>
            </w:r>
          </w:p>
          <w:p w:rsidR="00857B55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- покращення якості медичних послуг на сучасному рівні.</w:t>
            </w:r>
          </w:p>
        </w:tc>
        <w:tc>
          <w:tcPr>
            <w:tcW w:w="2108" w:type="dxa"/>
          </w:tcPr>
          <w:p w:rsidR="00857B55" w:rsidRPr="00D43359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Style w:val="20"/>
                <w:rFonts w:eastAsia="DejaVu Sans"/>
                <w:sz w:val="24"/>
                <w:szCs w:val="24"/>
              </w:rPr>
              <w:t>Відсутні</w:t>
            </w:r>
          </w:p>
        </w:tc>
        <w:tc>
          <w:tcPr>
            <w:tcW w:w="2570" w:type="dxa"/>
          </w:tcPr>
          <w:p w:rsidR="00857B55" w:rsidRPr="00D43359" w:rsidRDefault="00857B55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Style w:val="20"/>
                <w:rFonts w:eastAsia="DejaVu Sans"/>
                <w:sz w:val="24"/>
                <w:szCs w:val="24"/>
              </w:rPr>
              <w:t>Цілі прийняття регуляторного акта будуть досягнуті майже повною мірою</w:t>
            </w:r>
            <w:r w:rsidR="00D43359" w:rsidRPr="00D43359">
              <w:rPr>
                <w:rStyle w:val="20"/>
                <w:rFonts w:eastAsia="DejaVu Sans"/>
                <w:sz w:val="24"/>
                <w:szCs w:val="24"/>
              </w:rPr>
              <w:t>.</w:t>
            </w:r>
          </w:p>
        </w:tc>
      </w:tr>
    </w:tbl>
    <w:p w:rsidR="00BA1E71" w:rsidRDefault="00BA1E71" w:rsidP="00FA7603">
      <w:pPr>
        <w:spacing w:line="322" w:lineRule="exact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A7603" w:rsidTr="007347A3">
        <w:tc>
          <w:tcPr>
            <w:tcW w:w="3209" w:type="dxa"/>
            <w:vAlign w:val="center"/>
          </w:tcPr>
          <w:p w:rsidR="00FA7603" w:rsidRPr="007347A3" w:rsidRDefault="00FA7603" w:rsidP="00D433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color w:val="auto"/>
                <w:sz w:val="24"/>
                <w:szCs w:val="24"/>
              </w:rPr>
              <w:t>Рейтинг</w:t>
            </w:r>
          </w:p>
        </w:tc>
        <w:tc>
          <w:tcPr>
            <w:tcW w:w="3210" w:type="dxa"/>
            <w:vAlign w:val="center"/>
          </w:tcPr>
          <w:p w:rsidR="00FA7603" w:rsidRPr="007347A3" w:rsidRDefault="00FA7603" w:rsidP="00D433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color w:val="auto"/>
                <w:sz w:val="24"/>
                <w:szCs w:val="24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10" w:type="dxa"/>
            <w:vAlign w:val="center"/>
          </w:tcPr>
          <w:p w:rsidR="00FA7603" w:rsidRPr="007347A3" w:rsidRDefault="00FA7603" w:rsidP="00D433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347A3">
              <w:rPr>
                <w:rStyle w:val="20"/>
                <w:rFonts w:eastAsia="DejaVu Sans"/>
                <w:b/>
                <w:color w:val="auto"/>
                <w:sz w:val="24"/>
                <w:szCs w:val="24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D43359" w:rsidTr="00FA7603">
        <w:tc>
          <w:tcPr>
            <w:tcW w:w="3209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Залишити тарифи на платні медичні послуги без змін.</w:t>
            </w:r>
          </w:p>
        </w:tc>
        <w:tc>
          <w:tcPr>
            <w:tcW w:w="3210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Не сприяє розв’язанню  визначеної проблеми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D43359" w:rsidRPr="00D43359" w:rsidRDefault="00D43359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43359" w:rsidTr="00FA7603">
        <w:tc>
          <w:tcPr>
            <w:tcW w:w="3209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 xml:space="preserve">Залишити  формування тарифів у вільному режимі 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ціноутворення за умови  відміни державного регулювання тарифів на послуги.</w:t>
            </w:r>
          </w:p>
        </w:tc>
        <w:tc>
          <w:tcPr>
            <w:tcW w:w="3210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можливе без внесення відповідних  змін до 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законодавчих  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D43359" w:rsidRPr="00D43359" w:rsidRDefault="00D43359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D43359" w:rsidTr="00FA7603">
        <w:tc>
          <w:tcPr>
            <w:tcW w:w="3209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Прийняти  регуляторний акт, що передбачає затвердження економічно об</w:t>
            </w:r>
            <w:r w:rsidRPr="00D43359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рунтованих тарифів на послуги.</w:t>
            </w:r>
          </w:p>
        </w:tc>
        <w:tc>
          <w:tcPr>
            <w:tcW w:w="3210" w:type="dxa"/>
          </w:tcPr>
          <w:p w:rsid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Надання якісних послуг за економічно об</w:t>
            </w:r>
            <w:r w:rsidRPr="00D43359">
              <w:rPr>
                <w:rStyle w:val="20"/>
                <w:rFonts w:eastAsia="DejaVu Sans"/>
                <w:sz w:val="24"/>
                <w:szCs w:val="24"/>
              </w:rPr>
              <w:t>ґ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рунтованою  вартістю;</w:t>
            </w:r>
          </w:p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ащення результатів  фінансово-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 xml:space="preserve">господарської діяльності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поліклініки</w:t>
            </w:r>
          </w:p>
        </w:tc>
        <w:tc>
          <w:tcPr>
            <w:tcW w:w="3210" w:type="dxa"/>
          </w:tcPr>
          <w:p w:rsidR="00D43359" w:rsidRPr="00D43359" w:rsidRDefault="00D43359" w:rsidP="00787714">
            <w:pPr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У разі підвищення  тарифів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комунальні послуги, розміру 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>мінімальної зароб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ітної плати</w:t>
            </w:r>
            <w:r w:rsidRPr="00D43359">
              <w:rPr>
                <w:rFonts w:ascii="Times New Roman" w:hAnsi="Times New Roman" w:cs="Times New Roman"/>
                <w:sz w:val="24"/>
                <w:szCs w:val="24"/>
              </w:rPr>
              <w:t xml:space="preserve"> тощо розмір вартості послуг буде переглянутий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поліклінікою.</w:t>
            </w:r>
          </w:p>
        </w:tc>
      </w:tr>
    </w:tbl>
    <w:p w:rsidR="001A2A69" w:rsidRDefault="001A2A69" w:rsidP="001A2A69">
      <w:pPr>
        <w:spacing w:line="100" w:lineRule="atLeast"/>
        <w:rPr>
          <w:sz w:val="28"/>
          <w:szCs w:val="28"/>
        </w:rPr>
      </w:pPr>
    </w:p>
    <w:p w:rsidR="001A2A69" w:rsidRPr="001A2A69" w:rsidRDefault="001A2A69" w:rsidP="001A2A6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69">
        <w:rPr>
          <w:rFonts w:ascii="Times New Roman" w:hAnsi="Times New Roman" w:cs="Times New Roman"/>
          <w:sz w:val="28"/>
          <w:szCs w:val="28"/>
        </w:rPr>
        <w:t xml:space="preserve">Найбільш </w:t>
      </w:r>
      <w:r>
        <w:rPr>
          <w:rFonts w:ascii="Times New Roman" w:hAnsi="Times New Roman" w:cs="Times New Roman"/>
          <w:sz w:val="28"/>
          <w:szCs w:val="28"/>
        </w:rPr>
        <w:t xml:space="preserve">сприятливою альтернативою є </w:t>
      </w:r>
      <w:r w:rsidRPr="001A2A69">
        <w:rPr>
          <w:rFonts w:ascii="Times New Roman" w:hAnsi="Times New Roman" w:cs="Times New Roman"/>
          <w:sz w:val="28"/>
          <w:szCs w:val="28"/>
        </w:rPr>
        <w:t>прийнят</w:t>
      </w:r>
      <w:r>
        <w:rPr>
          <w:rFonts w:ascii="Times New Roman" w:hAnsi="Times New Roman" w:cs="Times New Roman"/>
          <w:sz w:val="28"/>
          <w:szCs w:val="28"/>
        </w:rPr>
        <w:t>тя</w:t>
      </w:r>
      <w:r w:rsidRPr="001A2A69">
        <w:rPr>
          <w:rFonts w:ascii="Times New Roman" w:hAnsi="Times New Roman" w:cs="Times New Roman"/>
          <w:sz w:val="28"/>
          <w:szCs w:val="28"/>
        </w:rPr>
        <w:t xml:space="preserve"> регуляторн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2A6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A69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27392C">
        <w:rPr>
          <w:rFonts w:ascii="Times New Roman" w:hAnsi="Times New Roman" w:cs="Times New Roman"/>
          <w:sz w:val="28"/>
          <w:szCs w:val="28"/>
        </w:rPr>
        <w:t>воно</w:t>
      </w:r>
      <w:r w:rsidRPr="001A2A69">
        <w:rPr>
          <w:rFonts w:ascii="Times New Roman" w:hAnsi="Times New Roman" w:cs="Times New Roman"/>
          <w:sz w:val="28"/>
          <w:szCs w:val="28"/>
        </w:rPr>
        <w:t xml:space="preserve"> передбачає правове врегулювання надання медичних послуг населенню за економічно обґрунтованими тарифами, дозволить задовольнити попит споживачів в отриманні якісних медичних послуг, матиме позитивний вплив на покращення фінансового стану </w:t>
      </w:r>
      <w:r>
        <w:rPr>
          <w:rFonts w:ascii="Times New Roman" w:hAnsi="Times New Roman" w:cs="Times New Roman"/>
          <w:sz w:val="28"/>
          <w:szCs w:val="28"/>
        </w:rPr>
        <w:t>поліклініки</w:t>
      </w:r>
      <w:r w:rsidRPr="001A2A69">
        <w:rPr>
          <w:rFonts w:ascii="Times New Roman" w:hAnsi="Times New Roman" w:cs="Times New Roman"/>
          <w:sz w:val="28"/>
          <w:szCs w:val="28"/>
        </w:rPr>
        <w:t>, зменшення витрат бюджетних коштів.</w:t>
      </w:r>
    </w:p>
    <w:p w:rsidR="001A2A69" w:rsidRDefault="001A2A69" w:rsidP="001A2A6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69">
        <w:rPr>
          <w:rFonts w:ascii="Times New Roman" w:hAnsi="Times New Roman" w:cs="Times New Roman"/>
          <w:sz w:val="28"/>
          <w:szCs w:val="28"/>
        </w:rPr>
        <w:t>Впровадження та виконання вимог регуляторного акту не потребує додаткових витрат бюджетних коштів.</w:t>
      </w:r>
    </w:p>
    <w:p w:rsidR="001A2A69" w:rsidRPr="001A2A69" w:rsidRDefault="001A2A69" w:rsidP="001A2A6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E83" w:rsidRPr="00FB54CE" w:rsidRDefault="001A2A69" w:rsidP="0027392C">
      <w:pPr>
        <w:keepNext/>
        <w:keepLines/>
        <w:tabs>
          <w:tab w:val="left" w:pos="1089"/>
        </w:tabs>
        <w:spacing w:line="276" w:lineRule="auto"/>
        <w:ind w:firstLine="709"/>
        <w:jc w:val="both"/>
        <w:outlineLvl w:val="0"/>
        <w:rPr>
          <w:rStyle w:val="10"/>
          <w:rFonts w:ascii="DejaVu Sans" w:eastAsia="DejaVu Sans" w:hAnsi="DejaVu Sans" w:cs="DejaVu Sans"/>
          <w:b w:val="0"/>
          <w:bCs w:val="0"/>
          <w:sz w:val="24"/>
          <w:szCs w:val="24"/>
          <w:u w:val="none"/>
        </w:rPr>
      </w:pPr>
      <w:bookmarkStart w:id="6" w:name="bookmark6"/>
      <w:r>
        <w:rPr>
          <w:rStyle w:val="10"/>
          <w:rFonts w:eastAsia="DejaVu Sans"/>
          <w:bCs w:val="0"/>
          <w:lang w:val="en-US"/>
        </w:rPr>
        <w:t>V</w:t>
      </w:r>
      <w:r>
        <w:rPr>
          <w:rStyle w:val="10"/>
          <w:rFonts w:eastAsia="DejaVu Sans"/>
          <w:bCs w:val="0"/>
        </w:rPr>
        <w:t>.</w:t>
      </w:r>
      <w:r>
        <w:rPr>
          <w:rStyle w:val="10"/>
          <w:rFonts w:eastAsia="DejaVu Sans"/>
          <w:bCs w:val="0"/>
          <w:lang w:val="en-US"/>
        </w:rPr>
        <w:t> </w:t>
      </w:r>
      <w:r w:rsidR="00A86E83" w:rsidRPr="00A86E83">
        <w:rPr>
          <w:rStyle w:val="10"/>
          <w:rFonts w:eastAsia="DejaVu Sans"/>
          <w:bCs w:val="0"/>
        </w:rPr>
        <w:t>Механізми та заходи, які забезпечать розв’язання визначеної проблеми</w:t>
      </w:r>
      <w:bookmarkEnd w:id="6"/>
    </w:p>
    <w:p w:rsidR="008864C1" w:rsidRPr="00FB6FF8" w:rsidRDefault="008864C1" w:rsidP="00FB6F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F8">
        <w:rPr>
          <w:rFonts w:ascii="Times New Roman" w:hAnsi="Times New Roman" w:cs="Times New Roman"/>
          <w:sz w:val="28"/>
          <w:szCs w:val="28"/>
        </w:rPr>
        <w:t xml:space="preserve">Механізмом розв’язання проблеми є прийняття розпорядження голови обласної державної адміністрації </w:t>
      </w:r>
      <w:r w:rsidR="00FB6FF8" w:rsidRPr="00FB6FF8">
        <w:rPr>
          <w:rFonts w:ascii="Times New Roman" w:hAnsi="Times New Roman" w:cs="Times New Roman"/>
          <w:sz w:val="28"/>
          <w:szCs w:val="28"/>
        </w:rPr>
        <w:t>«Про встановлення тарифів на платні послуги, які надаються комунальним підприємством «Ковельська поліклініка Волинської обласн</w:t>
      </w:r>
      <w:r w:rsidR="00117AA0">
        <w:rPr>
          <w:rFonts w:ascii="Times New Roman" w:hAnsi="Times New Roman" w:cs="Times New Roman"/>
          <w:sz w:val="28"/>
          <w:szCs w:val="28"/>
        </w:rPr>
        <w:t>ої ради</w:t>
      </w:r>
      <w:r w:rsidR="00FB6FF8" w:rsidRPr="00FB6FF8">
        <w:rPr>
          <w:rFonts w:ascii="Times New Roman" w:hAnsi="Times New Roman" w:cs="Times New Roman"/>
          <w:sz w:val="28"/>
          <w:szCs w:val="28"/>
        </w:rPr>
        <w:t>»</w:t>
      </w:r>
      <w:r w:rsidRPr="00FB6FF8">
        <w:rPr>
          <w:rFonts w:ascii="Times New Roman" w:hAnsi="Times New Roman" w:cs="Times New Roman"/>
          <w:sz w:val="28"/>
          <w:szCs w:val="28"/>
        </w:rPr>
        <w:t>. Затвердження тарифів на платні послуги дозволять задовольнити попит споживачів в отриманні якісних медичних послуг, скоротити бюджетне фінансування за рахунок отримання додаткового джерела фінансування</w:t>
      </w:r>
      <w:r w:rsidR="00FB6FF8">
        <w:rPr>
          <w:rFonts w:ascii="Times New Roman" w:hAnsi="Times New Roman" w:cs="Times New Roman"/>
          <w:sz w:val="28"/>
          <w:szCs w:val="28"/>
        </w:rPr>
        <w:t>, яке буде направлено</w:t>
      </w:r>
      <w:r w:rsidRPr="00FB6FF8">
        <w:rPr>
          <w:rFonts w:ascii="Times New Roman" w:hAnsi="Times New Roman" w:cs="Times New Roman"/>
          <w:sz w:val="28"/>
          <w:szCs w:val="28"/>
        </w:rPr>
        <w:t xml:space="preserve"> не лише на покриття прямих витрат </w:t>
      </w:r>
      <w:r w:rsidR="00FB6FF8" w:rsidRPr="00FB6FF8">
        <w:rPr>
          <w:rFonts w:ascii="Times New Roman" w:hAnsi="Times New Roman" w:cs="Times New Roman"/>
          <w:sz w:val="28"/>
          <w:szCs w:val="28"/>
        </w:rPr>
        <w:t>поліклініки</w:t>
      </w:r>
      <w:r w:rsidRPr="00FB6FF8">
        <w:rPr>
          <w:rFonts w:ascii="Times New Roman" w:hAnsi="Times New Roman" w:cs="Times New Roman"/>
          <w:sz w:val="28"/>
          <w:szCs w:val="28"/>
        </w:rPr>
        <w:t>, а й спрямування коштів на придбання нового, сучасного</w:t>
      </w:r>
      <w:r w:rsidR="00FB6FF8" w:rsidRPr="00FB6FF8">
        <w:rPr>
          <w:rFonts w:ascii="Times New Roman" w:hAnsi="Times New Roman" w:cs="Times New Roman"/>
          <w:sz w:val="28"/>
          <w:szCs w:val="28"/>
        </w:rPr>
        <w:t>, більш функціонального</w:t>
      </w:r>
      <w:r w:rsidRPr="00FB6FF8">
        <w:rPr>
          <w:rFonts w:ascii="Times New Roman" w:hAnsi="Times New Roman" w:cs="Times New Roman"/>
          <w:sz w:val="28"/>
          <w:szCs w:val="28"/>
        </w:rPr>
        <w:t xml:space="preserve"> медичного обладнання, удосконалення матеріально-технічної бази, що в свою чергу підвищить якість надання медичних послуг.</w:t>
      </w:r>
    </w:p>
    <w:p w:rsidR="00EE0782" w:rsidRPr="00EE0782" w:rsidRDefault="00EE0782" w:rsidP="00C10E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0782" w:rsidRPr="001A2A69" w:rsidRDefault="001A2A69" w:rsidP="00FB6FF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A2A6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EE0782" w:rsidRPr="001A2A69">
        <w:rPr>
          <w:rFonts w:ascii="Times New Roman" w:hAnsi="Times New Roman" w:cs="Times New Roman"/>
          <w:b/>
          <w:bCs/>
          <w:sz w:val="28"/>
          <w:szCs w:val="28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0F4F08" w:rsidRDefault="000F4F08" w:rsidP="000F4F08">
      <w:pPr>
        <w:spacing w:line="100" w:lineRule="atLeast"/>
        <w:jc w:val="center"/>
        <w:rPr>
          <w:b/>
          <w:bCs/>
          <w:sz w:val="28"/>
          <w:szCs w:val="28"/>
        </w:rPr>
      </w:pPr>
    </w:p>
    <w:p w:rsidR="000F4F08" w:rsidRPr="00BA1E71" w:rsidRDefault="00BA1E71" w:rsidP="00BA1E71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 </w:t>
      </w:r>
      <w:r w:rsidR="000F4F08" w:rsidRPr="000F4F08">
        <w:rPr>
          <w:rFonts w:ascii="Times New Roman" w:hAnsi="Times New Roman" w:cs="Times New Roman"/>
          <w:b/>
          <w:bCs/>
          <w:sz w:val="28"/>
          <w:szCs w:val="28"/>
        </w:rPr>
        <w:t>малого підприємництва  ( М – Тест)</w:t>
      </w:r>
    </w:p>
    <w:p w:rsidR="000F4F08" w:rsidRPr="000F4F08" w:rsidRDefault="000F4F08" w:rsidP="00FB6FF8">
      <w:pPr>
        <w:widowControl/>
        <w:numPr>
          <w:ilvl w:val="0"/>
          <w:numId w:val="6"/>
        </w:numPr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08">
        <w:rPr>
          <w:rFonts w:ascii="Times New Roman" w:hAnsi="Times New Roman" w:cs="Times New Roman"/>
          <w:sz w:val="28"/>
          <w:szCs w:val="28"/>
        </w:rPr>
        <w:t>Консультації з представниками</w:t>
      </w:r>
      <w:r w:rsidR="002E1EEF">
        <w:rPr>
          <w:rFonts w:ascii="Times New Roman" w:hAnsi="Times New Roman" w:cs="Times New Roman"/>
          <w:sz w:val="28"/>
          <w:szCs w:val="28"/>
        </w:rPr>
        <w:t xml:space="preserve"> великого, середнього та</w:t>
      </w:r>
      <w:r w:rsidR="00FB6FF8">
        <w:rPr>
          <w:rFonts w:ascii="Times New Roman" w:hAnsi="Times New Roman" w:cs="Times New Roman"/>
          <w:sz w:val="28"/>
          <w:szCs w:val="28"/>
        </w:rPr>
        <w:t xml:space="preserve"> малого</w:t>
      </w:r>
      <w:r w:rsidRPr="000F4F08">
        <w:rPr>
          <w:rFonts w:ascii="Times New Roman" w:hAnsi="Times New Roman" w:cs="Times New Roman"/>
          <w:sz w:val="28"/>
          <w:szCs w:val="28"/>
        </w:rPr>
        <w:t xml:space="preserve"> підприємництва  щодо оцінки  впливу  регулювання.</w:t>
      </w:r>
    </w:p>
    <w:p w:rsidR="000F4F08" w:rsidRDefault="000F4F08" w:rsidP="000F4F08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4F08">
        <w:rPr>
          <w:rFonts w:ascii="Times New Roman" w:hAnsi="Times New Roman" w:cs="Times New Roman"/>
          <w:sz w:val="28"/>
          <w:szCs w:val="28"/>
        </w:rPr>
        <w:lastRenderedPageBreak/>
        <w:t xml:space="preserve">       Консультації щодо визначення впливу запропонованого регулювання на суб’єкти </w:t>
      </w:r>
      <w:r w:rsidR="00FB6FF8">
        <w:rPr>
          <w:rFonts w:ascii="Times New Roman" w:hAnsi="Times New Roman" w:cs="Times New Roman"/>
          <w:sz w:val="28"/>
          <w:szCs w:val="28"/>
        </w:rPr>
        <w:t xml:space="preserve">великого, середнього та малого підприємництва </w:t>
      </w:r>
      <w:r w:rsidRPr="000F4F08">
        <w:rPr>
          <w:rFonts w:ascii="Times New Roman" w:hAnsi="Times New Roman" w:cs="Times New Roman"/>
          <w:sz w:val="28"/>
          <w:szCs w:val="28"/>
        </w:rPr>
        <w:t>та визначення детального переліку процедур, виконання яких необхідно для здійснення регулювання, проведені розробником у період з 01.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A2A69">
        <w:rPr>
          <w:rFonts w:ascii="Times New Roman" w:hAnsi="Times New Roman" w:cs="Times New Roman"/>
          <w:sz w:val="28"/>
          <w:szCs w:val="28"/>
        </w:rPr>
        <w:t xml:space="preserve">.2018 </w:t>
      </w:r>
      <w:r w:rsidRPr="000F4F08">
        <w:rPr>
          <w:rFonts w:ascii="Times New Roman" w:hAnsi="Times New Roman" w:cs="Times New Roman"/>
          <w:sz w:val="28"/>
          <w:szCs w:val="28"/>
        </w:rPr>
        <w:t>по 01.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4F08">
        <w:rPr>
          <w:rFonts w:ascii="Times New Roman" w:hAnsi="Times New Roman" w:cs="Times New Roman"/>
          <w:sz w:val="28"/>
          <w:szCs w:val="28"/>
        </w:rPr>
        <w:t>1.201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A2A69">
        <w:rPr>
          <w:rFonts w:ascii="Times New Roman" w:hAnsi="Times New Roman" w:cs="Times New Roman"/>
          <w:sz w:val="28"/>
          <w:szCs w:val="28"/>
        </w:rPr>
        <w:t>.</w:t>
      </w:r>
    </w:p>
    <w:p w:rsidR="00C641BA" w:rsidRPr="001A2A69" w:rsidRDefault="00C641BA" w:rsidP="000F4F08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788"/>
        <w:gridCol w:w="1742"/>
        <w:gridCol w:w="2386"/>
      </w:tblGrid>
      <w:tr w:rsidR="000F4F08" w:rsidRPr="000F4F08" w:rsidTr="004E6CA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FB6FF8" w:rsidRDefault="000F4F08" w:rsidP="00787714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B6FF8">
              <w:rPr>
                <w:rFonts w:ascii="Times New Roman" w:hAnsi="Times New Roman" w:cs="Times New Roman"/>
                <w:b/>
                <w:bCs/>
                <w:iCs/>
              </w:rPr>
              <w:t>№№</w:t>
            </w:r>
          </w:p>
          <w:p w:rsidR="000F4F08" w:rsidRPr="000F4F08" w:rsidRDefault="000F4F08" w:rsidP="0078771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6FF8">
              <w:rPr>
                <w:rFonts w:ascii="Times New Roman" w:hAnsi="Times New Roman" w:cs="Times New Roman"/>
                <w:b/>
                <w:bCs/>
                <w:iCs/>
              </w:rPr>
              <w:t>з/п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C641BA" w:rsidRDefault="000F4F08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641BA">
              <w:rPr>
                <w:rFonts w:ascii="Times New Roman" w:hAnsi="Times New Roman" w:cs="Times New Roman"/>
                <w:b/>
                <w:bCs/>
                <w:iCs/>
              </w:rPr>
              <w:t>Види</w:t>
            </w:r>
            <w:r w:rsidR="00FB6FF8">
              <w:rPr>
                <w:rFonts w:ascii="Times New Roman" w:hAnsi="Times New Roman" w:cs="Times New Roman"/>
                <w:b/>
                <w:bCs/>
                <w:iCs/>
              </w:rPr>
              <w:t xml:space="preserve"> консультацій (публічні консуль</w:t>
            </w:r>
            <w:r w:rsidRPr="00C641BA">
              <w:rPr>
                <w:rFonts w:ascii="Times New Roman" w:hAnsi="Times New Roman" w:cs="Times New Roman"/>
                <w:b/>
                <w:bCs/>
                <w:iCs/>
              </w:rPr>
              <w:t>тації прямі (круглі столи,  наради, робочі зустрічі тощо), інтернет – консультації  прямі (інтернет – форуми, соціальні мережі тощо), запити ( до підприємців, експертів, науковців тощо)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C641BA" w:rsidRDefault="000F4F08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641BA">
              <w:rPr>
                <w:rFonts w:ascii="Times New Roman" w:hAnsi="Times New Roman" w:cs="Times New Roman"/>
                <w:b/>
                <w:bCs/>
                <w:iCs/>
              </w:rPr>
              <w:t>Кількість учасників  консультацій,</w:t>
            </w:r>
          </w:p>
          <w:p w:rsidR="000F4F08" w:rsidRPr="00C641BA" w:rsidRDefault="000F4F08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641BA">
              <w:rPr>
                <w:rFonts w:ascii="Times New Roman" w:hAnsi="Times New Roman" w:cs="Times New Roman"/>
                <w:b/>
                <w:bCs/>
                <w:iCs/>
              </w:rPr>
              <w:t>осіб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C641BA" w:rsidRDefault="000F4F08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641BA">
              <w:rPr>
                <w:rFonts w:ascii="Times New Roman" w:hAnsi="Times New Roman" w:cs="Times New Roman"/>
                <w:b/>
                <w:bCs/>
                <w:iCs/>
              </w:rPr>
              <w:t>Основні  результати консультацій             (опис)</w:t>
            </w:r>
          </w:p>
        </w:tc>
      </w:tr>
      <w:tr w:rsidR="000F4F08" w:rsidRPr="000F4F08" w:rsidTr="004E6CA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0F4F08" w:rsidRDefault="000F4F08" w:rsidP="0078771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Default="000F4F0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Робочі зустрічі,</w:t>
            </w:r>
            <w:r w:rsidR="00C641BA">
              <w:rPr>
                <w:rFonts w:ascii="Times New Roman" w:hAnsi="Times New Roman" w:cs="Times New Roman"/>
                <w:sz w:val="26"/>
                <w:szCs w:val="26"/>
              </w:rPr>
              <w:t xml:space="preserve"> наради (консультації</w:t>
            </w: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ПК ВЧД – 14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ТЧ – 7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ДН -3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ВЧДЕ – 8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ПЧ -10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ШЧ -12</w:t>
            </w:r>
          </w:p>
          <w:p w:rsidR="000F4F08" w:rsidRPr="000F4F08" w:rsidRDefault="000F4F0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0F4F08" w:rsidRDefault="000F4F08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0F4F08" w:rsidRDefault="000F4F0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Надана інформація  про вартість  та якість проведення послуг</w:t>
            </w:r>
            <w:r w:rsidR="00C641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F4F08" w:rsidRPr="000F4F08" w:rsidTr="004E6CA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0F4F08" w:rsidRDefault="000F4F08" w:rsidP="0078771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Default="000F4F0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Телефонні розмови :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МЧ Львів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ПЧЛ – 1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ЕЧ -7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НОР – 1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КМС – 123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РПЧ – 3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ПАТ «Сільмаш»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ПЧ – 19</w:t>
            </w:r>
          </w:p>
          <w:p w:rsidR="004711F9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ВОХР</w:t>
            </w:r>
          </w:p>
          <w:p w:rsidR="000F4F08" w:rsidRPr="000F4F08" w:rsidRDefault="004711F9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АЗС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0F4F08" w:rsidRDefault="000F4F08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11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08" w:rsidRPr="000F4F08" w:rsidRDefault="000F4F0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Уточнення інформації  щодо витрат суб’єктів  господарювання на виконання вимог регулювання</w:t>
            </w:r>
            <w:r w:rsidR="00C641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4F08" w:rsidRPr="000F4F08" w:rsidRDefault="000F4F0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4F08" w:rsidRPr="000F4F08" w:rsidRDefault="000F4F0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4F08" w:rsidRPr="000F4F08" w:rsidRDefault="000F4F0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4F08" w:rsidRPr="000F4F08" w:rsidRDefault="000F4F0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11F9" w:rsidRPr="000F4F08" w:rsidTr="004E6CA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9" w:rsidRPr="000F4F08" w:rsidRDefault="004711F9" w:rsidP="0078771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9" w:rsidRPr="00FB6FF8" w:rsidRDefault="00FB6FF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4711F9" w:rsidRPr="00FB6FF8">
              <w:rPr>
                <w:rFonts w:ascii="Times New Roman" w:hAnsi="Times New Roman" w:cs="Times New Roman"/>
                <w:sz w:val="26"/>
                <w:szCs w:val="26"/>
              </w:rPr>
              <w:t>П/поїзд</w:t>
            </w:r>
          </w:p>
          <w:p w:rsidR="004711F9" w:rsidRPr="00FB6FF8" w:rsidRDefault="00FB6FF8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4711F9" w:rsidRPr="00FB6FF8">
              <w:rPr>
                <w:rFonts w:ascii="Times New Roman" w:hAnsi="Times New Roman" w:cs="Times New Roman"/>
                <w:sz w:val="26"/>
                <w:szCs w:val="26"/>
              </w:rPr>
              <w:t>Ковель вапно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9" w:rsidRPr="000F4F08" w:rsidRDefault="004711F9" w:rsidP="0078771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9" w:rsidRPr="000F4F08" w:rsidRDefault="009A118C" w:rsidP="007877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F08">
              <w:rPr>
                <w:rFonts w:ascii="Times New Roman" w:hAnsi="Times New Roman" w:cs="Times New Roman"/>
                <w:sz w:val="26"/>
                <w:szCs w:val="26"/>
              </w:rPr>
              <w:t>Надана інформація  про вартість  та якість проведення послуг</w:t>
            </w:r>
            <w:r w:rsidR="00C641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F4F08" w:rsidRPr="000F4F08" w:rsidRDefault="000F4F08" w:rsidP="000F4F0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A4D" w:rsidRPr="00FB6FF8" w:rsidRDefault="00FB6FF8" w:rsidP="00FB6FF8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231520" w:rsidRPr="00FB6FF8">
        <w:rPr>
          <w:rFonts w:ascii="Times New Roman" w:hAnsi="Times New Roman" w:cs="Times New Roman"/>
          <w:color w:val="auto"/>
          <w:sz w:val="28"/>
          <w:szCs w:val="28"/>
        </w:rPr>
        <w:t>Вимірювання впливу регулювання на</w:t>
      </w:r>
      <w:r w:rsidR="00C92A4D" w:rsidRPr="00FB6FF8">
        <w:rPr>
          <w:rFonts w:ascii="Times New Roman" w:hAnsi="Times New Roman" w:cs="Times New Roman"/>
          <w:color w:val="auto"/>
          <w:sz w:val="28"/>
          <w:szCs w:val="28"/>
        </w:rPr>
        <w:t xml:space="preserve"> суб’єкти малого підприємництва</w:t>
      </w:r>
      <w:r w:rsidR="00C641BA" w:rsidRPr="00FB6F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1520" w:rsidRPr="00C641BA" w:rsidRDefault="00231520" w:rsidP="00FB6FF8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1BA">
        <w:rPr>
          <w:rFonts w:ascii="Times New Roman" w:hAnsi="Times New Roman" w:cs="Times New Roman"/>
          <w:color w:val="auto"/>
          <w:sz w:val="28"/>
          <w:szCs w:val="28"/>
        </w:rPr>
        <w:t>Кількість суб’єктів малого підприємництва</w:t>
      </w:r>
      <w:r w:rsidR="00C92A4D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>великого, середнього та  мікро</w:t>
      </w:r>
      <w:r w:rsidR="00FB6FF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92A4D" w:rsidRPr="00C641B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становить 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C92A4D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одиниць, у тому числі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великого</w:t>
      </w:r>
      <w:r w:rsidR="00BA1E71">
        <w:rPr>
          <w:rFonts w:ascii="Times New Roman" w:hAnsi="Times New Roman" w:cs="Times New Roman"/>
          <w:color w:val="auto"/>
          <w:sz w:val="28"/>
          <w:szCs w:val="28"/>
        </w:rPr>
        <w:t xml:space="preserve"> −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6 одиниць, середнього</w:t>
      </w:r>
      <w:r w:rsidR="00BA1E71">
        <w:rPr>
          <w:rFonts w:ascii="Times New Roman" w:hAnsi="Times New Roman" w:cs="Times New Roman"/>
          <w:color w:val="auto"/>
          <w:sz w:val="28"/>
          <w:szCs w:val="28"/>
        </w:rPr>
        <w:t xml:space="preserve"> −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10 одиниць</w:t>
      </w:r>
      <w:r w:rsidR="00C92A4D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C92A4D" w:rsidRPr="00C641BA">
        <w:rPr>
          <w:rFonts w:ascii="Times New Roman" w:hAnsi="Times New Roman" w:cs="Times New Roman"/>
          <w:color w:val="auto"/>
          <w:sz w:val="28"/>
          <w:szCs w:val="28"/>
        </w:rPr>
        <w:t>мікропідприємництва</w:t>
      </w:r>
      <w:proofErr w:type="spellEnd"/>
      <w:r w:rsidR="00C92A4D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1E71">
        <w:rPr>
          <w:rFonts w:ascii="Times New Roman" w:hAnsi="Times New Roman" w:cs="Times New Roman"/>
          <w:color w:val="auto"/>
          <w:sz w:val="28"/>
          <w:szCs w:val="28"/>
        </w:rPr>
        <w:t xml:space="preserve">− 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="00C92A4D" w:rsidRPr="00C641BA">
        <w:rPr>
          <w:rFonts w:ascii="Times New Roman" w:hAnsi="Times New Roman" w:cs="Times New Roman"/>
          <w:color w:val="auto"/>
          <w:sz w:val="28"/>
          <w:szCs w:val="28"/>
        </w:rPr>
        <w:t>одиниц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C92A4D" w:rsidRPr="00C641B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Питома вага суб’єктів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господарювання, на як</w:t>
      </w:r>
      <w:r w:rsidR="00444CB5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і 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>проблема має вплив</w:t>
      </w:r>
      <w:r w:rsidR="00FB6FF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у загальній кількості суб’єктів становить: серед великих підприємств </w:t>
      </w:r>
      <w:r w:rsidR="00444CB5" w:rsidRPr="00C641B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24</w:t>
      </w:r>
      <w:r w:rsidR="00FB6FF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>%, середніх –</w:t>
      </w:r>
      <w:r w:rsidR="00444CB5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40</w:t>
      </w:r>
      <w:r w:rsidR="00FB6FF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194ACB" w:rsidRPr="00C641BA">
        <w:rPr>
          <w:rFonts w:ascii="Times New Roman" w:hAnsi="Times New Roman" w:cs="Times New Roman"/>
          <w:color w:val="auto"/>
          <w:sz w:val="28"/>
          <w:szCs w:val="28"/>
        </w:rPr>
        <w:t>%,</w:t>
      </w:r>
      <w:r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BA1E71">
        <w:rPr>
          <w:rFonts w:ascii="Times New Roman" w:hAnsi="Times New Roman" w:cs="Times New Roman"/>
          <w:color w:val="auto"/>
          <w:sz w:val="28"/>
          <w:szCs w:val="28"/>
        </w:rPr>
        <w:t>ікро</w:t>
      </w:r>
      <w:r w:rsidRPr="00C641BA">
        <w:rPr>
          <w:rFonts w:ascii="Times New Roman" w:hAnsi="Times New Roman" w:cs="Times New Roman"/>
          <w:color w:val="auto"/>
          <w:sz w:val="28"/>
          <w:szCs w:val="28"/>
        </w:rPr>
        <w:t>підприєм</w:t>
      </w:r>
      <w:r w:rsidR="00C641BA" w:rsidRPr="00C641BA">
        <w:rPr>
          <w:rFonts w:ascii="Times New Roman" w:hAnsi="Times New Roman" w:cs="Times New Roman"/>
          <w:color w:val="auto"/>
          <w:sz w:val="28"/>
          <w:szCs w:val="28"/>
        </w:rPr>
        <w:t>ств – 8</w:t>
      </w:r>
      <w:r w:rsidR="00FB6FF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641BA" w:rsidRPr="00C641BA">
        <w:rPr>
          <w:rFonts w:ascii="Times New Roman" w:hAnsi="Times New Roman" w:cs="Times New Roman"/>
          <w:color w:val="auto"/>
          <w:sz w:val="28"/>
          <w:szCs w:val="28"/>
        </w:rPr>
        <w:t>%</w:t>
      </w:r>
      <w:r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 (відповідно до таблиці «Оцінка впливу на сферу інтересів суб’єктів господарювання»</w:t>
      </w:r>
      <w:r w:rsidR="00C92A4D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231520" w:rsidRPr="00C641BA" w:rsidRDefault="00231520" w:rsidP="00231520">
      <w:pPr>
        <w:spacing w:line="100" w:lineRule="atLeast"/>
        <w:jc w:val="both"/>
        <w:rPr>
          <w:rFonts w:ascii="Times New Roman" w:hAnsi="Times New Roman" w:cs="Times New Roman"/>
          <w:color w:val="auto"/>
        </w:rPr>
      </w:pPr>
    </w:p>
    <w:p w:rsidR="00231520" w:rsidRPr="00C641BA" w:rsidRDefault="00231520" w:rsidP="00FB6FF8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1BA">
        <w:rPr>
          <w:rFonts w:ascii="Times New Roman" w:hAnsi="Times New Roman" w:cs="Times New Roman"/>
          <w:color w:val="auto"/>
          <w:sz w:val="28"/>
          <w:szCs w:val="28"/>
        </w:rPr>
        <w:lastRenderedPageBreak/>
        <w:t>3. Розрахунок витрат суб’єктів  малого підприємництва  на виконання вимог регулювання: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47"/>
        <w:gridCol w:w="1926"/>
        <w:gridCol w:w="1926"/>
        <w:gridCol w:w="1926"/>
      </w:tblGrid>
      <w:tr w:rsidR="00D17A75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641BA">
              <w:rPr>
                <w:rFonts w:ascii="Times New Roman" w:hAnsi="Times New Roman" w:cs="Times New Roman"/>
                <w:b/>
                <w:color w:val="auto"/>
              </w:rPr>
              <w:t>№  з/п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641BA">
              <w:rPr>
                <w:rFonts w:ascii="Times New Roman" w:hAnsi="Times New Roman" w:cs="Times New Roman"/>
                <w:b/>
                <w:color w:val="auto"/>
              </w:rPr>
              <w:t>Найменування  оцінки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641BA">
              <w:rPr>
                <w:rFonts w:ascii="Times New Roman" w:hAnsi="Times New Roman" w:cs="Times New Roman"/>
                <w:b/>
                <w:color w:val="auto"/>
              </w:rPr>
              <w:t>У перший рік</w:t>
            </w:r>
          </w:p>
          <w:p w:rsidR="00231520" w:rsidRPr="00C641BA" w:rsidRDefault="00231520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641BA">
              <w:rPr>
                <w:rFonts w:ascii="Times New Roman" w:hAnsi="Times New Roman" w:cs="Times New Roman"/>
                <w:b/>
                <w:color w:val="auto"/>
              </w:rPr>
              <w:t>(стартовий рік  впровадження  регулювання 201</w:t>
            </w:r>
            <w:r w:rsidR="00C92A4D" w:rsidRPr="00C641BA"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Pr="00C641BA">
              <w:rPr>
                <w:rFonts w:ascii="Times New Roman" w:hAnsi="Times New Roman" w:cs="Times New Roman"/>
                <w:b/>
                <w:color w:val="auto"/>
              </w:rPr>
              <w:t xml:space="preserve"> р),</w:t>
            </w:r>
          </w:p>
          <w:p w:rsidR="00231520" w:rsidRPr="00C641BA" w:rsidRDefault="00231520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641BA">
              <w:rPr>
                <w:rFonts w:ascii="Times New Roman" w:hAnsi="Times New Roman" w:cs="Times New Roman"/>
                <w:b/>
                <w:color w:val="auto"/>
              </w:rPr>
              <w:t>грн.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641BA">
              <w:rPr>
                <w:rFonts w:ascii="Times New Roman" w:hAnsi="Times New Roman" w:cs="Times New Roman"/>
                <w:b/>
                <w:color w:val="auto"/>
              </w:rPr>
              <w:t>Періодичні</w:t>
            </w:r>
          </w:p>
          <w:p w:rsidR="00231520" w:rsidRPr="00C641BA" w:rsidRDefault="00231520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641BA">
              <w:rPr>
                <w:rFonts w:ascii="Times New Roman" w:hAnsi="Times New Roman" w:cs="Times New Roman"/>
                <w:b/>
                <w:color w:val="auto"/>
              </w:rPr>
              <w:t>(за наступний рік 20</w:t>
            </w:r>
            <w:r w:rsidR="00C92A4D" w:rsidRPr="00C641BA">
              <w:rPr>
                <w:rFonts w:ascii="Times New Roman" w:hAnsi="Times New Roman" w:cs="Times New Roman"/>
                <w:b/>
                <w:color w:val="auto"/>
              </w:rPr>
              <w:t>20</w:t>
            </w:r>
            <w:r w:rsidRPr="00C641BA">
              <w:rPr>
                <w:rFonts w:ascii="Times New Roman" w:hAnsi="Times New Roman" w:cs="Times New Roman"/>
                <w:b/>
                <w:color w:val="auto"/>
              </w:rPr>
              <w:t xml:space="preserve"> ),</w:t>
            </w:r>
            <w:r w:rsidR="00F50730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C641BA">
              <w:rPr>
                <w:rFonts w:ascii="Times New Roman" w:hAnsi="Times New Roman" w:cs="Times New Roman"/>
                <w:b/>
                <w:color w:val="auto"/>
              </w:rPr>
              <w:t>грн.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641BA">
              <w:rPr>
                <w:rFonts w:ascii="Times New Roman" w:hAnsi="Times New Roman" w:cs="Times New Roman"/>
                <w:b/>
                <w:color w:val="auto"/>
              </w:rPr>
              <w:t>Витрати за</w:t>
            </w:r>
            <w:r w:rsidRPr="00C641BA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C641BA">
              <w:rPr>
                <w:rFonts w:ascii="Times New Roman" w:hAnsi="Times New Roman" w:cs="Times New Roman"/>
                <w:b/>
                <w:color w:val="auto"/>
              </w:rPr>
              <w:t xml:space="preserve"> п</w:t>
            </w:r>
            <w:r w:rsidRPr="00C641BA">
              <w:rPr>
                <w:rFonts w:ascii="Times New Roman" w:hAnsi="Times New Roman" w:cs="Times New Roman"/>
                <w:b/>
                <w:color w:val="auto"/>
                <w:lang w:val="en-US"/>
              </w:rPr>
              <w:t>’</w:t>
            </w:r>
            <w:r w:rsidRPr="00C641BA">
              <w:rPr>
                <w:rFonts w:ascii="Times New Roman" w:hAnsi="Times New Roman" w:cs="Times New Roman"/>
                <w:b/>
                <w:color w:val="auto"/>
              </w:rPr>
              <w:t>ять  років</w:t>
            </w:r>
          </w:p>
        </w:tc>
      </w:tr>
      <w:tr w:rsidR="00D17A75" w:rsidRPr="00C641BA" w:rsidTr="00A132DB">
        <w:trPr>
          <w:trHeight w:val="630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444CB5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Оцінка «прямих» витрат  суб’єктів</w:t>
            </w:r>
            <w:r w:rsidR="00444CB5" w:rsidRPr="00C641BA">
              <w:rPr>
                <w:rFonts w:ascii="Times New Roman" w:hAnsi="Times New Roman" w:cs="Times New Roman"/>
                <w:color w:val="auto"/>
              </w:rPr>
              <w:t xml:space="preserve"> великих підприємств, середніх та </w:t>
            </w:r>
            <w:r w:rsidRPr="00C641BA">
              <w:rPr>
                <w:rFonts w:ascii="Times New Roman" w:hAnsi="Times New Roman" w:cs="Times New Roman"/>
                <w:color w:val="auto"/>
              </w:rPr>
              <w:t xml:space="preserve"> м</w:t>
            </w:r>
            <w:r w:rsidR="00444CB5" w:rsidRPr="00C641BA">
              <w:rPr>
                <w:rFonts w:ascii="Times New Roman" w:hAnsi="Times New Roman" w:cs="Times New Roman"/>
                <w:color w:val="auto"/>
              </w:rPr>
              <w:t>ікро малого</w:t>
            </w:r>
            <w:r w:rsidRPr="00C641BA">
              <w:rPr>
                <w:rFonts w:ascii="Times New Roman" w:hAnsi="Times New Roman" w:cs="Times New Roman"/>
                <w:color w:val="auto"/>
              </w:rPr>
              <w:t xml:space="preserve"> підприємництва  на  виконання вимог регулювання</w:t>
            </w:r>
          </w:p>
        </w:tc>
      </w:tr>
      <w:tr w:rsidR="00D17A75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D17A75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5D2422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  <w:r w:rsidRPr="00C641BA">
              <w:t>Придбання необхідного обладнання (пристроїв, машин, механізмів)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D17A75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D17A75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5D2422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  <w:r w:rsidRPr="00C641BA"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  <w:r w:rsidR="00C641BA"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D17A75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D17A75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5D2422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  <w:r w:rsidRPr="00C641BA">
              <w:t>Процедури експлуатації обладнання (експлуатаційні витрати - витратні матеріали)</w:t>
            </w:r>
            <w:r w:rsidR="00C641BA"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D17A75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D17A75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D17A75" w:rsidP="00C641BA">
            <w:pPr>
              <w:pStyle w:val="rvps14"/>
              <w:spacing w:before="0" w:beforeAutospacing="0" w:after="0" w:afterAutospacing="0"/>
              <w:jc w:val="both"/>
            </w:pPr>
            <w:r w:rsidRPr="00C641BA">
              <w:t>Процедури обслуговування обла</w:t>
            </w:r>
            <w:r w:rsidR="00C641BA">
              <w:t>днання (технічне обслуговування).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444CB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Інші процедури (уточнити)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1337690,28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1337690,28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DD559A" w:rsidP="00C70F10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6688451,40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ПК ВЧД – 14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494802,00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494802,00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2474010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,00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ТЧ – 7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186925,20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186925,20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934626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,00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ДН -3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136659,60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136659,60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683298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,00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ВЧДЕ – 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85765,68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85765,68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428828,4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ПЧ -10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130376,40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130376,40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651882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,00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ШЧ -12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75398,40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75398,40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376992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,00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МЧ Львів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5340,72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5340,72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26703,6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ПЧЛ – 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6597,36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6597,36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32986,8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ЕЧ -7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15708,00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15708,00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78540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,00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 – 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84823,20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84823,20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424116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,00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КМС – 123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14137,20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14137,20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70686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,00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РПЧ – 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23562,00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23562,00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117810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,00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ПАТ «Сільмаш»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32044,32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32044,32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160221,6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ПЧ – 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8168,16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8168,16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40840,8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ВОХР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17904,12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17904,12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89520,6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</w:tr>
      <w:tr w:rsidR="001E367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АЗС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2199,12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2199,12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10995,6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</w:tr>
      <w:tr w:rsidR="001E367B" w:rsidRPr="00C641BA" w:rsidTr="00A132DB">
        <w:trPr>
          <w:trHeight w:val="3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П/поїзд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5654,88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5654,88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28274,4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</w:tr>
      <w:tr w:rsidR="00DD559A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C641BA" w:rsidP="00DD559A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Ковель вапно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11623,92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9A" w:rsidRPr="00C641BA" w:rsidRDefault="00DD559A" w:rsidP="00DD559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11623,92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59A" w:rsidRPr="00C641BA" w:rsidRDefault="00DD559A" w:rsidP="00346DDC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C641BA">
              <w:rPr>
                <w:rFonts w:ascii="Times New Roman" w:hAnsi="Times New Roman" w:cs="Times New Roman"/>
                <w:bCs/>
                <w:color w:val="auto"/>
              </w:rPr>
              <w:t>58119,6</w:t>
            </w:r>
            <w:r w:rsidR="00473620" w:rsidRPr="00C641BA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  <w:r w:rsidRPr="00C641BA">
              <w:t>Разом, гривень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A132DB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74316,13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A132DB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74316,13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A132DB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371580,65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A132DB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A132DB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A132DB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A132DB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B" w:rsidRPr="00C641BA" w:rsidRDefault="00A132DB" w:rsidP="00A132DB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B" w:rsidRPr="00C641BA" w:rsidRDefault="00A132DB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  <w:r w:rsidRPr="00C641BA">
              <w:t xml:space="preserve"> Сумарно, гривень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B" w:rsidRPr="00C641BA" w:rsidRDefault="00A132DB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1337690,28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B" w:rsidRPr="00C641BA" w:rsidRDefault="00A132DB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1337690,28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B" w:rsidRPr="00C641BA" w:rsidRDefault="00A132DB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6688451,40</w:t>
            </w:r>
          </w:p>
        </w:tc>
      </w:tr>
      <w:tr w:rsidR="00C70F10" w:rsidRPr="00C641BA" w:rsidTr="00A132DB"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lastRenderedPageBreak/>
              <w:t>Оцінка вартості адміністративних процедур суб’єктів  малого підприємництва щодо виконання регулювання та  звітування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Default="00C70F10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  <w:r w:rsidRPr="00C641BA">
              <w:t>Процедури отримання первинної інформації про вимоги регулювання</w:t>
            </w:r>
          </w:p>
          <w:p w:rsidR="00183B0C" w:rsidRPr="00C641BA" w:rsidRDefault="00183B0C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417AFF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4,68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0C1727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4,68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7E32F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23,40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 xml:space="preserve">10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037"/>
              <w:gridCol w:w="894"/>
            </w:tblGrid>
            <w:tr w:rsidR="00C70F10" w:rsidRPr="00C641BA" w:rsidTr="00D17A75">
              <w:trPr>
                <w:trHeight w:val="12"/>
              </w:trPr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70F10" w:rsidRPr="00C641BA" w:rsidRDefault="00C70F10" w:rsidP="00C641BA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C641BA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Процедури організації виконання вимог регулювання</w:t>
                  </w:r>
                </w:p>
                <w:p w:rsidR="00C70F10" w:rsidRPr="00C641BA" w:rsidRDefault="00C70F10" w:rsidP="00C641BA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70F10" w:rsidRPr="00C641BA" w:rsidRDefault="00C70F10" w:rsidP="00C641BA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:rsidR="00C70F10" w:rsidRPr="00C641BA" w:rsidRDefault="00C70F10" w:rsidP="00C641BA">
            <w:pPr>
              <w:spacing w:line="1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417AFF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11,70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1FDE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11,7</w:t>
            </w:r>
            <w:r w:rsidR="002E7AC5"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1FDE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58,5</w:t>
            </w:r>
            <w:r w:rsidR="002E7AC5"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  <w:r w:rsidRPr="00C641BA">
              <w:t>Процедури офіційного звітування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7E32F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7E32F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7E32F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641BA">
            <w:pPr>
              <w:pStyle w:val="rvps14"/>
              <w:spacing w:before="0" w:beforeAutospacing="0" w:after="0" w:afterAutospacing="0"/>
              <w:jc w:val="both"/>
            </w:pPr>
            <w:r w:rsidRPr="00C641BA">
              <w:t>Процедури щодо забезпечення процесу перевірок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7E32F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7E32F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7E32F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641BA">
            <w:pPr>
              <w:pStyle w:val="rvps14"/>
              <w:spacing w:before="0" w:beforeAutospacing="0" w:after="0" w:afterAutospacing="0"/>
              <w:jc w:val="both"/>
            </w:pPr>
            <w:r w:rsidRPr="00C641BA">
              <w:t>Інші процедури (уточнити)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641BA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  <w:r>
              <w:t>Разом, гривень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16,38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16,38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81,90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641BA">
            <w:pPr>
              <w:pStyle w:val="rvps14"/>
              <w:spacing w:before="0" w:beforeAutospacing="0" w:after="0" w:afterAutospacing="0"/>
              <w:jc w:val="both"/>
            </w:pPr>
            <w:r w:rsidRPr="00C641BA">
              <w:t xml:space="preserve">Кількість суб’єктів </w:t>
            </w:r>
            <w:r w:rsidR="002E7AC5" w:rsidRPr="00C641BA">
              <w:t>великого, середнього, мікро п</w:t>
            </w:r>
            <w:r w:rsidRPr="00C641BA">
              <w:t>ідприємництва, що повинні виконати вимоги регулювання, одиниць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C70F10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70F10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C70F10" w:rsidP="00C641BA">
            <w:pPr>
              <w:pStyle w:val="rvps14"/>
              <w:shd w:val="clear" w:color="auto" w:fill="FFFFFF"/>
              <w:spacing w:before="0" w:beforeAutospacing="0" w:after="0" w:afterAutospacing="0"/>
              <w:jc w:val="both"/>
            </w:pPr>
            <w:r w:rsidRPr="00C641BA">
              <w:t>Сумарно, гривень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294,84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294,84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10" w:rsidRPr="00C641BA" w:rsidRDefault="002E7AC5" w:rsidP="00C641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1474,20</w:t>
            </w:r>
          </w:p>
        </w:tc>
      </w:tr>
    </w:tbl>
    <w:p w:rsidR="00231520" w:rsidRPr="00C641BA" w:rsidRDefault="00231520" w:rsidP="00231520">
      <w:pPr>
        <w:spacing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1520" w:rsidRPr="00C641BA" w:rsidRDefault="00231520" w:rsidP="0011757C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1BA">
        <w:rPr>
          <w:rFonts w:ascii="Times New Roman" w:hAnsi="Times New Roman" w:cs="Times New Roman"/>
          <w:color w:val="auto"/>
          <w:sz w:val="28"/>
          <w:szCs w:val="28"/>
        </w:rPr>
        <w:t>Бюджетні витрати на адміністрування  регулювання  суб’єктів малого підприємництва, що виникають на виконання вимог регулювання  відсутні.</w:t>
      </w:r>
    </w:p>
    <w:p w:rsidR="00256D45" w:rsidRPr="00C641BA" w:rsidRDefault="00256D45" w:rsidP="00C10E6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b/>
          <w:sz w:val="28"/>
          <w:szCs w:val="28"/>
        </w:rPr>
      </w:pPr>
    </w:p>
    <w:p w:rsidR="00231520" w:rsidRPr="00C641BA" w:rsidRDefault="00C92A4D" w:rsidP="0011757C">
      <w:pPr>
        <w:widowControl/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41BA">
        <w:rPr>
          <w:rFonts w:ascii="Times New Roman" w:hAnsi="Times New Roman" w:cs="Times New Roman"/>
          <w:color w:val="auto"/>
          <w:sz w:val="28"/>
          <w:szCs w:val="28"/>
        </w:rPr>
        <w:t>4. </w:t>
      </w:r>
      <w:r w:rsidR="00231520" w:rsidRPr="00C641BA">
        <w:rPr>
          <w:rFonts w:ascii="Times New Roman" w:hAnsi="Times New Roman" w:cs="Times New Roman"/>
          <w:color w:val="auto"/>
          <w:sz w:val="28"/>
          <w:szCs w:val="28"/>
        </w:rPr>
        <w:t xml:space="preserve">Розрахунок  сумарних витрат суб’єктів  малого підприємництва, що виникають  </w:t>
      </w:r>
      <w:r w:rsidR="0011757C">
        <w:rPr>
          <w:rFonts w:ascii="Times New Roman" w:hAnsi="Times New Roman" w:cs="Times New Roman"/>
          <w:color w:val="auto"/>
          <w:sz w:val="28"/>
          <w:szCs w:val="28"/>
        </w:rPr>
        <w:t>на виконання вимог  регулювання.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110"/>
        <w:gridCol w:w="2407"/>
        <w:gridCol w:w="2408"/>
      </w:tblGrid>
      <w:tr w:rsidR="005233E1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D717D5" w:rsidRDefault="00231520" w:rsidP="00D717D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17D5">
              <w:rPr>
                <w:rFonts w:ascii="Times New Roman" w:hAnsi="Times New Roman" w:cs="Times New Roman"/>
                <w:b/>
                <w:color w:val="auto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D717D5" w:rsidRDefault="00231520" w:rsidP="00D717D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17D5">
              <w:rPr>
                <w:rFonts w:ascii="Times New Roman" w:hAnsi="Times New Roman" w:cs="Times New Roman"/>
                <w:b/>
                <w:color w:val="auto"/>
              </w:rPr>
              <w:t>Показник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D717D5" w:rsidRDefault="00231520" w:rsidP="00D717D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17D5">
              <w:rPr>
                <w:rFonts w:ascii="Times New Roman" w:hAnsi="Times New Roman" w:cs="Times New Roman"/>
                <w:b/>
                <w:color w:val="auto"/>
              </w:rPr>
              <w:t>Перший рік  регулювання                                ( стартовий 201</w:t>
            </w:r>
            <w:r w:rsidR="000A5303" w:rsidRPr="00D717D5">
              <w:rPr>
                <w:rFonts w:ascii="Times New Roman" w:hAnsi="Times New Roman" w:cs="Times New Roman"/>
                <w:b/>
                <w:color w:val="auto"/>
              </w:rPr>
              <w:t xml:space="preserve">9 </w:t>
            </w:r>
            <w:r w:rsidRPr="00D717D5">
              <w:rPr>
                <w:rFonts w:ascii="Times New Roman" w:hAnsi="Times New Roman" w:cs="Times New Roman"/>
                <w:b/>
                <w:color w:val="auto"/>
              </w:rPr>
              <w:t>р.)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D717D5" w:rsidRDefault="00231520" w:rsidP="00D717D5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17D5">
              <w:rPr>
                <w:rFonts w:ascii="Times New Roman" w:hAnsi="Times New Roman" w:cs="Times New Roman"/>
                <w:b/>
                <w:color w:val="auto"/>
              </w:rPr>
              <w:t>За п</w:t>
            </w:r>
            <w:r w:rsidRPr="00D717D5">
              <w:rPr>
                <w:rFonts w:ascii="Times New Roman" w:hAnsi="Times New Roman" w:cs="Times New Roman"/>
                <w:b/>
                <w:color w:val="auto"/>
                <w:lang w:val="en-US"/>
              </w:rPr>
              <w:t>’</w:t>
            </w:r>
            <w:r w:rsidRPr="00D717D5">
              <w:rPr>
                <w:rFonts w:ascii="Times New Roman" w:hAnsi="Times New Roman" w:cs="Times New Roman"/>
                <w:b/>
                <w:color w:val="auto"/>
              </w:rPr>
              <w:t>ять років</w:t>
            </w:r>
          </w:p>
        </w:tc>
      </w:tr>
      <w:tr w:rsidR="00297FA2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2" w:rsidRPr="00C641BA" w:rsidRDefault="00297FA2" w:rsidP="00297FA2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2" w:rsidRPr="00C641BA" w:rsidRDefault="00297FA2" w:rsidP="00297FA2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Оцінка  «прямих» витрат  суб’єктів малого підприємництва  на  виконання  вимог регулювання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2" w:rsidRPr="00C641BA" w:rsidRDefault="00297FA2" w:rsidP="00297FA2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1337690,28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2" w:rsidRPr="00C641BA" w:rsidRDefault="00297FA2" w:rsidP="00297FA2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6688451,40</w:t>
            </w:r>
          </w:p>
        </w:tc>
      </w:tr>
      <w:tr w:rsidR="00297FA2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2" w:rsidRPr="00C641BA" w:rsidRDefault="00297FA2" w:rsidP="00297FA2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2" w:rsidRPr="00C641BA" w:rsidRDefault="00297FA2" w:rsidP="00297FA2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Оцінка вартості адміністративних процедур суб’єктів  малого підприємництва щодо виконання регулювання та  звітування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2" w:rsidRPr="00C641BA" w:rsidRDefault="00297FA2" w:rsidP="00297FA2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294,84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2" w:rsidRPr="00C641BA" w:rsidRDefault="00297FA2" w:rsidP="00297FA2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1474,20</w:t>
            </w:r>
          </w:p>
        </w:tc>
      </w:tr>
      <w:tr w:rsidR="00C92A4D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A132DB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A132DB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97FA2" w:rsidP="00A132DB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97FA2" w:rsidP="00A132DB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</w:t>
            </w:r>
          </w:p>
        </w:tc>
      </w:tr>
      <w:tr w:rsidR="00C92A4D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A132DB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A132DB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Бюджетні витрати на адміністрування  регулювання  суб’єктів малого підприємництва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DD471E" w:rsidP="00A132DB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DD471E" w:rsidP="00DD471E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</w:t>
            </w:r>
          </w:p>
        </w:tc>
      </w:tr>
      <w:tr w:rsidR="00C92A4D" w:rsidRPr="00C641BA" w:rsidTr="00A132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A132DB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231520" w:rsidP="00A132DB">
            <w:pPr>
              <w:spacing w:line="100" w:lineRule="atLeast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</w:rPr>
              <w:t>Сумарні витрати на виконання запланованого регулювання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DD471E" w:rsidP="00A132DB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20" w:rsidRPr="00C641BA" w:rsidRDefault="00DD471E" w:rsidP="00A132DB">
            <w:pPr>
              <w:spacing w:line="10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1B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0</w:t>
            </w:r>
          </w:p>
        </w:tc>
      </w:tr>
    </w:tbl>
    <w:p w:rsidR="00C92A4D" w:rsidRDefault="00C92A4D" w:rsidP="00C92A4D">
      <w:pPr>
        <w:widowControl/>
        <w:spacing w:line="100" w:lineRule="atLeast"/>
        <w:jc w:val="both"/>
        <w:rPr>
          <w:rFonts w:ascii="Times New Roman" w:hAnsi="Times New Roman" w:cs="Times New Roman"/>
          <w:color w:val="FF0000"/>
        </w:rPr>
      </w:pPr>
    </w:p>
    <w:p w:rsidR="00BA1E71" w:rsidRPr="00C92A4D" w:rsidRDefault="00BA1E71" w:rsidP="00C92A4D">
      <w:pPr>
        <w:widowControl/>
        <w:spacing w:line="100" w:lineRule="atLeast"/>
        <w:jc w:val="both"/>
        <w:rPr>
          <w:rFonts w:ascii="Times New Roman" w:hAnsi="Times New Roman" w:cs="Times New Roman"/>
          <w:color w:val="FF0000"/>
        </w:rPr>
      </w:pPr>
    </w:p>
    <w:p w:rsidR="0011757C" w:rsidRDefault="00C92A4D" w:rsidP="0011757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57C">
        <w:rPr>
          <w:rFonts w:ascii="Times New Roman" w:hAnsi="Times New Roman" w:cs="Times New Roman"/>
          <w:color w:val="auto"/>
          <w:sz w:val="28"/>
          <w:szCs w:val="28"/>
        </w:rPr>
        <w:lastRenderedPageBreak/>
        <w:t>5. 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>Розроблення  кор</w:t>
      </w:r>
      <w:r w:rsidR="0011757C" w:rsidRPr="0011757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>гуючих (пом’якшув</w:t>
      </w:r>
      <w:r w:rsidR="00BD2E0F" w:rsidRPr="0011757C">
        <w:rPr>
          <w:rFonts w:ascii="Times New Roman" w:hAnsi="Times New Roman" w:cs="Times New Roman"/>
          <w:color w:val="auto"/>
          <w:sz w:val="28"/>
          <w:szCs w:val="28"/>
        </w:rPr>
        <w:t>альних</w:t>
      </w:r>
      <w:r w:rsidRPr="0011757C">
        <w:rPr>
          <w:rFonts w:ascii="Times New Roman" w:hAnsi="Times New Roman" w:cs="Times New Roman"/>
          <w:color w:val="auto"/>
          <w:sz w:val="28"/>
          <w:szCs w:val="28"/>
        </w:rPr>
        <w:t xml:space="preserve">)  заходів  для малого 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>підприємництва щодо запропонованого регулювання немає потреби, тому що  прийняття даного регуляторного акту врахову</w:t>
      </w:r>
      <w:r w:rsidRPr="0011757C">
        <w:rPr>
          <w:rFonts w:ascii="Times New Roman" w:hAnsi="Times New Roman" w:cs="Times New Roman"/>
          <w:color w:val="auto"/>
          <w:sz w:val="28"/>
          <w:szCs w:val="28"/>
        </w:rPr>
        <w:t xml:space="preserve">є  інтереси зацікавлених осіб: 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 xml:space="preserve">держави, суб’єктів господарювання  великого, середнього  та  малого бізнесу, </w:t>
      </w:r>
      <w:r w:rsidR="0011757C">
        <w:rPr>
          <w:rFonts w:ascii="Times New Roman" w:hAnsi="Times New Roman" w:cs="Times New Roman"/>
          <w:color w:val="auto"/>
          <w:sz w:val="28"/>
          <w:szCs w:val="28"/>
        </w:rPr>
        <w:t>поліклініки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 xml:space="preserve">, як суб’єкта </w:t>
      </w:r>
      <w:r w:rsidR="0011757C">
        <w:rPr>
          <w:rFonts w:ascii="Times New Roman" w:hAnsi="Times New Roman" w:cs="Times New Roman"/>
          <w:color w:val="auto"/>
          <w:sz w:val="28"/>
          <w:szCs w:val="28"/>
        </w:rPr>
        <w:t xml:space="preserve"> господарювання, та населення і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 xml:space="preserve"> передбачає затвердження  економічно об</w:t>
      </w:r>
      <w:r w:rsidR="0011757C" w:rsidRPr="0011757C">
        <w:rPr>
          <w:rStyle w:val="20"/>
          <w:rFonts w:eastAsia="DejaVu Sans"/>
        </w:rPr>
        <w:t>ґ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 xml:space="preserve">рунтованих тарифів на послуги, які надає </w:t>
      </w:r>
      <w:r w:rsidR="00BD2E0F" w:rsidRPr="0011757C">
        <w:rPr>
          <w:rFonts w:ascii="Times New Roman" w:hAnsi="Times New Roman" w:cs="Times New Roman"/>
          <w:color w:val="auto"/>
          <w:sz w:val="28"/>
          <w:szCs w:val="28"/>
        </w:rPr>
        <w:t>комунальне підприємство «Ковельська поліклініка Волинської обласної ради»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>, що відповідає потребам у вирішенні  проблем:</w:t>
      </w:r>
    </w:p>
    <w:p w:rsidR="0011757C" w:rsidRDefault="0011757C" w:rsidP="0011757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>надання якісних медичних послуг  за економічно об</w:t>
      </w:r>
      <w:r w:rsidRPr="00D43359">
        <w:rPr>
          <w:rStyle w:val="20"/>
          <w:rFonts w:eastAsia="DejaVu Sans"/>
          <w:sz w:val="24"/>
          <w:szCs w:val="24"/>
        </w:rPr>
        <w:t>ґ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>рунтованими тари</w:t>
      </w:r>
      <w:r>
        <w:rPr>
          <w:rFonts w:ascii="Times New Roman" w:hAnsi="Times New Roman" w:cs="Times New Roman"/>
          <w:color w:val="auto"/>
          <w:sz w:val="28"/>
          <w:szCs w:val="28"/>
        </w:rPr>
        <w:t>фами;</w:t>
      </w:r>
    </w:p>
    <w:p w:rsidR="0011757C" w:rsidRDefault="0011757C" w:rsidP="0011757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>залучення альтернативних та  дозволених законодавств</w:t>
      </w:r>
      <w:r>
        <w:rPr>
          <w:rFonts w:ascii="Times New Roman" w:hAnsi="Times New Roman" w:cs="Times New Roman"/>
          <w:color w:val="auto"/>
          <w:sz w:val="28"/>
          <w:szCs w:val="28"/>
        </w:rPr>
        <w:t>ом джерел фінансування лікарні;</w:t>
      </w:r>
    </w:p>
    <w:p w:rsidR="00231520" w:rsidRPr="0011757C" w:rsidRDefault="0011757C" w:rsidP="0011757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>використання повноважень обласної державної адміністрації щодо недопущення  необ</w:t>
      </w:r>
      <w:r w:rsidRPr="0011757C">
        <w:rPr>
          <w:rStyle w:val="20"/>
          <w:rFonts w:eastAsia="DejaVu Sans"/>
        </w:rPr>
        <w:t>ґ</w:t>
      </w:r>
      <w:r w:rsidR="002425C0">
        <w:rPr>
          <w:rFonts w:ascii="Times New Roman" w:hAnsi="Times New Roman" w:cs="Times New Roman"/>
          <w:color w:val="auto"/>
          <w:sz w:val="28"/>
          <w:szCs w:val="28"/>
        </w:rPr>
        <w:t>рунтованого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 xml:space="preserve"> зростання вартості медичних послуг, відповідно до постанови КМУ  від 25.</w:t>
      </w:r>
      <w:r>
        <w:rPr>
          <w:rFonts w:ascii="Times New Roman" w:hAnsi="Times New Roman" w:cs="Times New Roman"/>
          <w:color w:val="auto"/>
          <w:sz w:val="28"/>
          <w:szCs w:val="28"/>
        </w:rPr>
        <w:t>12.1996</w:t>
      </w:r>
      <w:r w:rsidR="00F344CE">
        <w:rPr>
          <w:rFonts w:ascii="Times New Roman" w:hAnsi="Times New Roman" w:cs="Times New Roman"/>
          <w:color w:val="auto"/>
          <w:sz w:val="28"/>
          <w:szCs w:val="28"/>
        </w:rPr>
        <w:t xml:space="preserve"> № </w:t>
      </w:r>
      <w:r w:rsidR="00231520" w:rsidRPr="0011757C">
        <w:rPr>
          <w:rFonts w:ascii="Times New Roman" w:hAnsi="Times New Roman" w:cs="Times New Roman"/>
          <w:color w:val="auto"/>
          <w:sz w:val="28"/>
          <w:szCs w:val="28"/>
        </w:rPr>
        <w:t>1548.</w:t>
      </w:r>
    </w:p>
    <w:p w:rsidR="00231520" w:rsidRDefault="00231520" w:rsidP="00C10E6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b/>
          <w:color w:val="FF0000"/>
          <w:sz w:val="28"/>
          <w:szCs w:val="28"/>
        </w:rPr>
      </w:pPr>
    </w:p>
    <w:p w:rsidR="00E139D9" w:rsidRPr="00E139D9" w:rsidRDefault="00E139D9" w:rsidP="00C10E68">
      <w:pPr>
        <w:keepNext/>
        <w:keepLines/>
        <w:spacing w:line="276" w:lineRule="auto"/>
        <w:ind w:firstLine="740"/>
        <w:jc w:val="both"/>
        <w:rPr>
          <w:rStyle w:val="10"/>
          <w:rFonts w:eastAsia="DejaVu Sans"/>
          <w:bCs w:val="0"/>
        </w:rPr>
      </w:pPr>
      <w:bookmarkStart w:id="7" w:name="bookmark7"/>
      <w:r w:rsidRPr="00E139D9">
        <w:rPr>
          <w:rStyle w:val="10"/>
          <w:rFonts w:eastAsia="DejaVu Sans"/>
          <w:bCs w:val="0"/>
          <w:lang w:val="fr-FR" w:eastAsia="fr-FR" w:bidi="fr-FR"/>
        </w:rPr>
        <w:t>VI</w:t>
      </w:r>
      <w:r w:rsidRPr="00E139D9">
        <w:rPr>
          <w:rStyle w:val="10"/>
          <w:rFonts w:eastAsia="DejaVu Sans"/>
          <w:bCs w:val="0"/>
          <w:lang w:eastAsia="fr-FR" w:bidi="fr-FR"/>
        </w:rPr>
        <w:t>І</w:t>
      </w:r>
      <w:r w:rsidR="008923E1">
        <w:rPr>
          <w:rStyle w:val="10"/>
          <w:rFonts w:eastAsia="DejaVu Sans"/>
          <w:bCs w:val="0"/>
          <w:lang w:eastAsia="fr-FR" w:bidi="fr-FR"/>
        </w:rPr>
        <w:t>.</w:t>
      </w:r>
      <w:r w:rsidRPr="00E139D9">
        <w:rPr>
          <w:rStyle w:val="10"/>
          <w:rFonts w:eastAsia="DejaVu Sans"/>
          <w:bCs w:val="0"/>
          <w:lang w:val="fr-FR" w:eastAsia="fr-FR" w:bidi="fr-FR"/>
        </w:rPr>
        <w:t xml:space="preserve"> </w:t>
      </w:r>
      <w:r w:rsidRPr="00E139D9">
        <w:rPr>
          <w:rStyle w:val="10"/>
          <w:rFonts w:eastAsia="DejaVu Sans"/>
          <w:bCs w:val="0"/>
        </w:rPr>
        <w:t>Обґрунтування запропонованого строку дії регуляторного акта</w:t>
      </w:r>
      <w:bookmarkEnd w:id="7"/>
    </w:p>
    <w:p w:rsidR="00E139D9" w:rsidRDefault="00E139D9" w:rsidP="00C10E68">
      <w:pPr>
        <w:keepNext/>
        <w:keepLines/>
        <w:spacing w:line="276" w:lineRule="auto"/>
        <w:ind w:firstLine="740"/>
        <w:jc w:val="both"/>
      </w:pPr>
    </w:p>
    <w:p w:rsidR="00E139D9" w:rsidRPr="00E139D9" w:rsidRDefault="0011757C" w:rsidP="00552508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E139D9" w:rsidRPr="00E139D9">
        <w:rPr>
          <w:rFonts w:ascii="Times New Roman" w:hAnsi="Times New Roman" w:cs="Times New Roman"/>
          <w:sz w:val="28"/>
          <w:szCs w:val="28"/>
        </w:rPr>
        <w:t xml:space="preserve"> не обмежена. Зміни та доповнення можуть бути внесені після внесення відповідних змін до чинного законодавства України та у разі потреби </w:t>
      </w:r>
      <w:r w:rsidR="00552508">
        <w:rPr>
          <w:rFonts w:ascii="Times New Roman" w:hAnsi="Times New Roman" w:cs="Times New Roman"/>
          <w:sz w:val="28"/>
          <w:szCs w:val="28"/>
        </w:rPr>
        <w:t>−</w:t>
      </w:r>
      <w:r w:rsidR="00E139D9" w:rsidRPr="00E139D9">
        <w:rPr>
          <w:rFonts w:ascii="Times New Roman" w:hAnsi="Times New Roman" w:cs="Times New Roman"/>
          <w:sz w:val="28"/>
          <w:szCs w:val="28"/>
        </w:rPr>
        <w:t xml:space="preserve"> за підсумками аналізу відстеження його результативності.</w:t>
      </w:r>
    </w:p>
    <w:p w:rsidR="00E139D9" w:rsidRPr="00E139D9" w:rsidRDefault="00E139D9" w:rsidP="00552508">
      <w:pPr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139D9">
        <w:rPr>
          <w:rFonts w:ascii="Times New Roman" w:hAnsi="Times New Roman" w:cs="Times New Roman"/>
          <w:sz w:val="28"/>
          <w:szCs w:val="28"/>
        </w:rPr>
        <w:t>На скорочення терміну дії регуляторного акта можуть вплинути:</w:t>
      </w:r>
    </w:p>
    <w:p w:rsidR="00E139D9" w:rsidRPr="00E139D9" w:rsidRDefault="00E139D9" w:rsidP="00552508">
      <w:pPr>
        <w:numPr>
          <w:ilvl w:val="0"/>
          <w:numId w:val="5"/>
        </w:numPr>
        <w:tabs>
          <w:tab w:val="left" w:pos="954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139D9">
        <w:rPr>
          <w:rFonts w:ascii="Times New Roman" w:hAnsi="Times New Roman" w:cs="Times New Roman"/>
          <w:sz w:val="28"/>
          <w:szCs w:val="28"/>
        </w:rPr>
        <w:t>значні зміни в оплаті праці працівників закладів охорони здоров'я згідно з урядовими рішеннями та відповідними наказами Міністерства охорони здоров’я України;</w:t>
      </w:r>
    </w:p>
    <w:p w:rsidR="00E139D9" w:rsidRPr="00552508" w:rsidRDefault="00E139D9" w:rsidP="00552508">
      <w:pPr>
        <w:numPr>
          <w:ilvl w:val="0"/>
          <w:numId w:val="5"/>
        </w:numPr>
        <w:tabs>
          <w:tab w:val="left" w:pos="993"/>
        </w:tabs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139D9">
        <w:rPr>
          <w:rFonts w:ascii="Times New Roman" w:hAnsi="Times New Roman" w:cs="Times New Roman"/>
          <w:sz w:val="28"/>
          <w:szCs w:val="28"/>
        </w:rPr>
        <w:t>зростання тарифів на енергоносії, водопостачання, теплопостачання</w:t>
      </w:r>
      <w:r w:rsidR="00982BD5">
        <w:rPr>
          <w:rFonts w:ascii="Times New Roman" w:hAnsi="Times New Roman" w:cs="Times New Roman"/>
          <w:sz w:val="28"/>
          <w:szCs w:val="28"/>
        </w:rPr>
        <w:t xml:space="preserve"> </w:t>
      </w:r>
      <w:r w:rsidRPr="00552508">
        <w:rPr>
          <w:rFonts w:ascii="Times New Roman" w:hAnsi="Times New Roman" w:cs="Times New Roman"/>
          <w:sz w:val="28"/>
          <w:szCs w:val="28"/>
        </w:rPr>
        <w:t>тощо;</w:t>
      </w:r>
    </w:p>
    <w:p w:rsidR="00E139D9" w:rsidRDefault="00E139D9" w:rsidP="00552508">
      <w:pPr>
        <w:numPr>
          <w:ilvl w:val="0"/>
          <w:numId w:val="5"/>
        </w:numPr>
        <w:tabs>
          <w:tab w:val="left" w:pos="958"/>
        </w:tabs>
        <w:spacing w:after="236"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139D9">
        <w:rPr>
          <w:rFonts w:ascii="Times New Roman" w:hAnsi="Times New Roman" w:cs="Times New Roman"/>
          <w:sz w:val="28"/>
          <w:szCs w:val="28"/>
        </w:rPr>
        <w:t>ріст закупівельних цін на матеріали, медикаменти, дезінфікуючі засоби та медичний інструментарій.</w:t>
      </w:r>
    </w:p>
    <w:p w:rsidR="00E139D9" w:rsidRPr="00E139D9" w:rsidRDefault="00E139D9" w:rsidP="00C10E68">
      <w:pPr>
        <w:tabs>
          <w:tab w:val="left" w:pos="958"/>
        </w:tabs>
        <w:spacing w:after="236" w:line="276" w:lineRule="auto"/>
        <w:ind w:firstLine="740"/>
        <w:jc w:val="both"/>
        <w:rPr>
          <w:rStyle w:val="10"/>
          <w:rFonts w:eastAsia="DejaVu Sans"/>
          <w:bCs w:val="0"/>
        </w:rPr>
      </w:pPr>
      <w:bookmarkStart w:id="8" w:name="bookmark8"/>
      <w:r w:rsidRPr="00E139D9">
        <w:rPr>
          <w:rStyle w:val="10"/>
          <w:rFonts w:eastAsia="DejaVu Sans"/>
          <w:bCs w:val="0"/>
          <w:lang w:val="fr-FR" w:eastAsia="fr-FR" w:bidi="fr-FR"/>
        </w:rPr>
        <w:t>V</w:t>
      </w:r>
      <w:r w:rsidRPr="00E139D9">
        <w:rPr>
          <w:rStyle w:val="10"/>
          <w:rFonts w:eastAsia="DejaVu Sans"/>
          <w:bCs w:val="0"/>
        </w:rPr>
        <w:t xml:space="preserve">ІІІ. Визначення показників результативності дії регуляторного </w:t>
      </w:r>
      <w:proofErr w:type="spellStart"/>
      <w:r w:rsidRPr="00E139D9">
        <w:rPr>
          <w:rStyle w:val="10"/>
          <w:rFonts w:eastAsia="DejaVu Sans"/>
          <w:bCs w:val="0"/>
        </w:rPr>
        <w:t>акта</w:t>
      </w:r>
      <w:bookmarkEnd w:id="8"/>
      <w:proofErr w:type="spellEnd"/>
    </w:p>
    <w:p w:rsidR="00E139D9" w:rsidRPr="00E139D9" w:rsidRDefault="00C10E68" w:rsidP="00C10E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Показники результативності:</w:t>
      </w:r>
    </w:p>
    <w:p w:rsidR="00E139D9" w:rsidRPr="00E139D9" w:rsidRDefault="00E139D9" w:rsidP="00C10E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9D9">
        <w:rPr>
          <w:rFonts w:ascii="Times New Roman" w:hAnsi="Times New Roman" w:cs="Times New Roman"/>
          <w:sz w:val="28"/>
          <w:szCs w:val="28"/>
        </w:rPr>
        <w:t xml:space="preserve">1. Собівартість платних послуг. </w:t>
      </w:r>
    </w:p>
    <w:p w:rsidR="00E139D9" w:rsidRPr="00E139D9" w:rsidRDefault="00E139D9" w:rsidP="00C10E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9D9">
        <w:rPr>
          <w:rFonts w:ascii="Times New Roman" w:hAnsi="Times New Roman" w:cs="Times New Roman"/>
          <w:sz w:val="28"/>
          <w:szCs w:val="28"/>
        </w:rPr>
        <w:t>2. Обсяги надання послуг.</w:t>
      </w:r>
    </w:p>
    <w:p w:rsidR="00E139D9" w:rsidRPr="00E139D9" w:rsidRDefault="00E139D9" w:rsidP="00C10E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9D9">
        <w:rPr>
          <w:rFonts w:ascii="Times New Roman" w:hAnsi="Times New Roman" w:cs="Times New Roman"/>
          <w:sz w:val="28"/>
          <w:szCs w:val="28"/>
        </w:rPr>
        <w:t>3. Кількість скарг.</w:t>
      </w:r>
    </w:p>
    <w:p w:rsidR="00E139D9" w:rsidRPr="00E139D9" w:rsidRDefault="00E139D9" w:rsidP="00C10E6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9D9">
        <w:rPr>
          <w:rFonts w:ascii="Times New Roman" w:hAnsi="Times New Roman" w:cs="Times New Roman"/>
          <w:sz w:val="28"/>
          <w:szCs w:val="28"/>
        </w:rPr>
        <w:t>4. Якість надання послуг.</w:t>
      </w:r>
    </w:p>
    <w:p w:rsidR="00E139D9" w:rsidRPr="00E139D9" w:rsidRDefault="00E139D9" w:rsidP="00C10E68">
      <w:pPr>
        <w:pStyle w:val="Just"/>
        <w:spacing w:before="0" w:after="0" w:line="276" w:lineRule="auto"/>
        <w:ind w:firstLine="851"/>
        <w:rPr>
          <w:noProof/>
          <w:sz w:val="28"/>
          <w:szCs w:val="28"/>
          <w:lang w:val="uk-UA"/>
        </w:rPr>
      </w:pPr>
      <w:r w:rsidRPr="00E139D9">
        <w:rPr>
          <w:noProof/>
          <w:sz w:val="28"/>
          <w:szCs w:val="28"/>
          <w:lang w:val="uk-UA"/>
        </w:rPr>
        <w:t>5. Розмір надходжень до місцевих бюджетів</w:t>
      </w:r>
      <w:r w:rsidR="00F0484D">
        <w:rPr>
          <w:noProof/>
          <w:sz w:val="28"/>
          <w:szCs w:val="28"/>
        </w:rPr>
        <w:t>,</w:t>
      </w:r>
      <w:r w:rsidRPr="00E139D9">
        <w:rPr>
          <w:noProof/>
          <w:sz w:val="28"/>
          <w:szCs w:val="28"/>
          <w:lang w:val="uk-UA"/>
        </w:rPr>
        <w:t xml:space="preserve"> пов’язаних з дією акта.</w:t>
      </w:r>
    </w:p>
    <w:p w:rsidR="00E139D9" w:rsidRPr="00E139D9" w:rsidRDefault="00552508" w:rsidP="00C10E68">
      <w:pPr>
        <w:pStyle w:val="Just"/>
        <w:spacing w:before="0" w:after="0" w:line="276" w:lineRule="auto"/>
        <w:ind w:firstLine="851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6. </w:t>
      </w:r>
      <w:r w:rsidR="00E139D9" w:rsidRPr="00E139D9">
        <w:rPr>
          <w:noProof/>
          <w:sz w:val="28"/>
          <w:szCs w:val="28"/>
          <w:lang w:val="uk-UA"/>
        </w:rPr>
        <w:t>Кількість суб’єктів господарювання та/або фізичних осіб, на яких поширюватиметься дія акта.</w:t>
      </w:r>
    </w:p>
    <w:p w:rsidR="00E139D9" w:rsidRPr="00E139D9" w:rsidRDefault="00552508" w:rsidP="00C10E68">
      <w:pPr>
        <w:pStyle w:val="Just"/>
        <w:spacing w:before="0" w:after="0" w:line="276" w:lineRule="auto"/>
        <w:ind w:firstLine="851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>7. </w:t>
      </w:r>
      <w:r w:rsidR="00E139D9" w:rsidRPr="00E139D9">
        <w:rPr>
          <w:noProof/>
          <w:sz w:val="28"/>
          <w:szCs w:val="28"/>
          <w:lang w:val="uk-UA"/>
        </w:rPr>
        <w:t>Розмір коштів і час, що витрачатимуться закладами охорони здоров'я  та/або фізичними особами, пов’язаними з виконанням вимог акта.</w:t>
      </w:r>
    </w:p>
    <w:p w:rsidR="00E139D9" w:rsidRDefault="00552508" w:rsidP="00C10E68">
      <w:pPr>
        <w:pStyle w:val="Just"/>
        <w:spacing w:before="0" w:after="0" w:line="276" w:lineRule="auto"/>
        <w:ind w:firstLine="851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8. </w:t>
      </w:r>
      <w:r w:rsidR="00E139D9" w:rsidRPr="00E139D9">
        <w:rPr>
          <w:noProof/>
          <w:sz w:val="28"/>
          <w:szCs w:val="28"/>
          <w:lang w:val="uk-UA"/>
        </w:rPr>
        <w:t>Рівень п</w:t>
      </w:r>
      <w:r w:rsidR="00275241">
        <w:rPr>
          <w:noProof/>
          <w:sz w:val="28"/>
          <w:szCs w:val="28"/>
          <w:lang w:val="uk-UA"/>
        </w:rPr>
        <w:t>р</w:t>
      </w:r>
      <w:r w:rsidR="00E139D9" w:rsidRPr="00E139D9">
        <w:rPr>
          <w:noProof/>
          <w:sz w:val="28"/>
          <w:szCs w:val="28"/>
          <w:lang w:val="uk-UA"/>
        </w:rPr>
        <w:t>оінформованості суб’єктів господарювання та/або фізичних осіб з основних положень акта.</w:t>
      </w:r>
    </w:p>
    <w:p w:rsidR="00F0484D" w:rsidRDefault="00F0484D" w:rsidP="00C10E68">
      <w:pPr>
        <w:pStyle w:val="Just"/>
        <w:spacing w:before="0" w:after="0" w:line="276" w:lineRule="auto"/>
        <w:ind w:firstLine="851"/>
        <w:rPr>
          <w:noProof/>
          <w:sz w:val="28"/>
          <w:szCs w:val="28"/>
          <w:lang w:val="uk-UA"/>
        </w:rPr>
      </w:pPr>
    </w:p>
    <w:p w:rsidR="00E139D9" w:rsidRDefault="00E139D9" w:rsidP="00C10E68">
      <w:pPr>
        <w:pStyle w:val="40"/>
        <w:shd w:val="clear" w:color="auto" w:fill="auto"/>
        <w:spacing w:line="276" w:lineRule="auto"/>
        <w:ind w:firstLine="760"/>
        <w:jc w:val="both"/>
      </w:pPr>
      <w:r>
        <w:t>IX. Визначення заходів, за допомогою яких здійснюватиметься відстеження результативності дії регуляторного акта</w:t>
      </w:r>
    </w:p>
    <w:p w:rsidR="00BE3B6F" w:rsidRDefault="008466E9" w:rsidP="00BE3B6F">
      <w:pPr>
        <w:pStyle w:val="11"/>
        <w:spacing w:line="100" w:lineRule="atLeast"/>
        <w:ind w:firstLine="708"/>
        <w:jc w:val="both"/>
        <w:rPr>
          <w:b/>
          <w:bCs/>
          <w:sz w:val="28"/>
          <w:szCs w:val="28"/>
        </w:rPr>
      </w:pPr>
      <w:r w:rsidRPr="008466E9">
        <w:rPr>
          <w:sz w:val="28"/>
          <w:szCs w:val="28"/>
        </w:rPr>
        <w:t xml:space="preserve">Відстеження  результативності регуляторного акту буде проводитися  шляхом аналізу статистичних та фінансових показників </w:t>
      </w:r>
      <w:r w:rsidR="00BE3B6F">
        <w:rPr>
          <w:sz w:val="28"/>
          <w:szCs w:val="28"/>
        </w:rPr>
        <w:t xml:space="preserve">діяльності комунального підприємства </w:t>
      </w:r>
      <w:r w:rsidR="00BE3B6F" w:rsidRPr="00FB6FF8">
        <w:rPr>
          <w:sz w:val="28"/>
          <w:szCs w:val="28"/>
        </w:rPr>
        <w:t>«Ковельська поліклініка Волинської обласно</w:t>
      </w:r>
      <w:r w:rsidR="00BE3B6F">
        <w:rPr>
          <w:sz w:val="28"/>
          <w:szCs w:val="28"/>
        </w:rPr>
        <w:t>ї ради»</w:t>
      </w:r>
      <w:r w:rsidRPr="008466E9">
        <w:rPr>
          <w:sz w:val="28"/>
          <w:szCs w:val="28"/>
        </w:rPr>
        <w:t>, що будуть мати відображення у відповідних звітах про результативність регуляторного акту.</w:t>
      </w:r>
    </w:p>
    <w:p w:rsidR="00A723B4" w:rsidRDefault="008466E9" w:rsidP="00A723B4">
      <w:pPr>
        <w:pStyle w:val="11"/>
        <w:spacing w:line="100" w:lineRule="atLeast"/>
        <w:ind w:firstLine="708"/>
        <w:jc w:val="both"/>
        <w:rPr>
          <w:sz w:val="28"/>
          <w:szCs w:val="28"/>
        </w:rPr>
      </w:pPr>
      <w:r w:rsidRPr="008466E9">
        <w:rPr>
          <w:sz w:val="28"/>
          <w:szCs w:val="28"/>
        </w:rPr>
        <w:t>Базове відстеження результативності даного регуляторного акту здійснюватиметься  під час обговорювання проекту шляхом аналізу зауважень та пропозицій, до початку набуття ним чинності.</w:t>
      </w:r>
    </w:p>
    <w:p w:rsidR="00A723B4" w:rsidRDefault="008466E9" w:rsidP="00A723B4">
      <w:pPr>
        <w:pStyle w:val="11"/>
        <w:spacing w:line="100" w:lineRule="atLeast"/>
        <w:ind w:firstLine="708"/>
        <w:jc w:val="both"/>
        <w:rPr>
          <w:sz w:val="28"/>
          <w:szCs w:val="28"/>
        </w:rPr>
      </w:pPr>
      <w:r w:rsidRPr="008466E9">
        <w:rPr>
          <w:sz w:val="28"/>
          <w:szCs w:val="28"/>
        </w:rPr>
        <w:t>Повторне відстеження регуляторного акту буде здійснюватися через рік з дня набрання ним чинності, за результатами якого можливо здійснити  порівняння показників базового та повторного відстеження. У разі виявлення неврегульованих та проблемних питань вони будуть усунені  шл</w:t>
      </w:r>
      <w:r w:rsidR="00A723B4">
        <w:rPr>
          <w:sz w:val="28"/>
          <w:szCs w:val="28"/>
        </w:rPr>
        <w:t>яхом внесення відповідних змін.</w:t>
      </w:r>
    </w:p>
    <w:p w:rsidR="00E139D9" w:rsidRPr="00A723B4" w:rsidRDefault="008466E9" w:rsidP="00A723B4">
      <w:pPr>
        <w:pStyle w:val="11"/>
        <w:spacing w:line="100" w:lineRule="atLeast"/>
        <w:ind w:firstLine="708"/>
        <w:jc w:val="both"/>
        <w:rPr>
          <w:b/>
          <w:bCs/>
          <w:sz w:val="28"/>
          <w:szCs w:val="28"/>
        </w:rPr>
      </w:pPr>
      <w:r w:rsidRPr="008466E9">
        <w:rPr>
          <w:sz w:val="28"/>
          <w:szCs w:val="28"/>
        </w:rPr>
        <w:t>Періодичне відстеження планується проводити</w:t>
      </w:r>
      <w:r w:rsidR="00275241">
        <w:rPr>
          <w:sz w:val="28"/>
          <w:szCs w:val="28"/>
          <w:lang w:val="ru-RU"/>
        </w:rPr>
        <w:t>меться</w:t>
      </w:r>
      <w:r w:rsidRPr="008466E9">
        <w:rPr>
          <w:sz w:val="28"/>
          <w:szCs w:val="28"/>
        </w:rPr>
        <w:t xml:space="preserve"> один раз на три роки з дня виконання заходів повторного відстеження результативності цього акту.</w:t>
      </w:r>
    </w:p>
    <w:p w:rsidR="00FA7603" w:rsidRDefault="00FA7603" w:rsidP="00C10E68">
      <w:pPr>
        <w:spacing w:line="276" w:lineRule="auto"/>
        <w:jc w:val="both"/>
      </w:pPr>
    </w:p>
    <w:sectPr w:rsidR="00FA7603" w:rsidSect="001E72B7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B85"/>
    <w:multiLevelType w:val="hybridMultilevel"/>
    <w:tmpl w:val="D9A8AD3A"/>
    <w:lvl w:ilvl="0" w:tplc="B2D66AC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215A26F2"/>
    <w:multiLevelType w:val="multilevel"/>
    <w:tmpl w:val="765E7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0C5C0B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F40864"/>
    <w:multiLevelType w:val="multilevel"/>
    <w:tmpl w:val="2DA211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83D24"/>
    <w:multiLevelType w:val="hybridMultilevel"/>
    <w:tmpl w:val="1A62A44C"/>
    <w:lvl w:ilvl="0" w:tplc="A2A87B06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85523"/>
    <w:multiLevelType w:val="hybridMultilevel"/>
    <w:tmpl w:val="162633E0"/>
    <w:lvl w:ilvl="0" w:tplc="B9D82C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B1A59BB"/>
    <w:multiLevelType w:val="hybridMultilevel"/>
    <w:tmpl w:val="8FC89616"/>
    <w:lvl w:ilvl="0" w:tplc="DDDA81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B43FB"/>
    <w:multiLevelType w:val="hybridMultilevel"/>
    <w:tmpl w:val="8EA852BE"/>
    <w:lvl w:ilvl="0" w:tplc="4FB2BC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1C6"/>
    <w:multiLevelType w:val="multilevel"/>
    <w:tmpl w:val="5406E0B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C879F3"/>
    <w:multiLevelType w:val="hybridMultilevel"/>
    <w:tmpl w:val="C0C28B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6D40DA"/>
    <w:multiLevelType w:val="multilevel"/>
    <w:tmpl w:val="3B4E9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099E"/>
    <w:rsid w:val="00073C8C"/>
    <w:rsid w:val="000A5303"/>
    <w:rsid w:val="000C1727"/>
    <w:rsid w:val="000F4F08"/>
    <w:rsid w:val="000F5591"/>
    <w:rsid w:val="000F725D"/>
    <w:rsid w:val="0011757C"/>
    <w:rsid w:val="00117AA0"/>
    <w:rsid w:val="00126F27"/>
    <w:rsid w:val="00183B0C"/>
    <w:rsid w:val="001905C4"/>
    <w:rsid w:val="00194ACB"/>
    <w:rsid w:val="00195DD3"/>
    <w:rsid w:val="001A2A69"/>
    <w:rsid w:val="001B7704"/>
    <w:rsid w:val="001C5123"/>
    <w:rsid w:val="001C630B"/>
    <w:rsid w:val="001D6C34"/>
    <w:rsid w:val="001E367B"/>
    <w:rsid w:val="001E72B7"/>
    <w:rsid w:val="0020000F"/>
    <w:rsid w:val="00200DF5"/>
    <w:rsid w:val="00213C6C"/>
    <w:rsid w:val="00231520"/>
    <w:rsid w:val="0024187D"/>
    <w:rsid w:val="002425C0"/>
    <w:rsid w:val="00255F8E"/>
    <w:rsid w:val="00256D45"/>
    <w:rsid w:val="0027392C"/>
    <w:rsid w:val="00275241"/>
    <w:rsid w:val="002816F5"/>
    <w:rsid w:val="002910BF"/>
    <w:rsid w:val="00297FA2"/>
    <w:rsid w:val="002B099E"/>
    <w:rsid w:val="002B7B83"/>
    <w:rsid w:val="002C5F1B"/>
    <w:rsid w:val="002E12A0"/>
    <w:rsid w:val="002E1EEF"/>
    <w:rsid w:val="002E1FDE"/>
    <w:rsid w:val="002E7AC5"/>
    <w:rsid w:val="00314453"/>
    <w:rsid w:val="0033021E"/>
    <w:rsid w:val="003423BA"/>
    <w:rsid w:val="00346DDC"/>
    <w:rsid w:val="003529A7"/>
    <w:rsid w:val="003903D2"/>
    <w:rsid w:val="003A7C0E"/>
    <w:rsid w:val="003B6883"/>
    <w:rsid w:val="00417AFF"/>
    <w:rsid w:val="00432720"/>
    <w:rsid w:val="00441A37"/>
    <w:rsid w:val="00444CB5"/>
    <w:rsid w:val="004522A0"/>
    <w:rsid w:val="004711F9"/>
    <w:rsid w:val="00473620"/>
    <w:rsid w:val="004813F7"/>
    <w:rsid w:val="004C2DD6"/>
    <w:rsid w:val="004D7E62"/>
    <w:rsid w:val="004E6CA7"/>
    <w:rsid w:val="005055FC"/>
    <w:rsid w:val="005209DD"/>
    <w:rsid w:val="005233E1"/>
    <w:rsid w:val="0054170B"/>
    <w:rsid w:val="005430D8"/>
    <w:rsid w:val="00552508"/>
    <w:rsid w:val="00561E0C"/>
    <w:rsid w:val="0058549C"/>
    <w:rsid w:val="005A5BCD"/>
    <w:rsid w:val="005A6768"/>
    <w:rsid w:val="005D2422"/>
    <w:rsid w:val="005E3CA0"/>
    <w:rsid w:val="005F05EC"/>
    <w:rsid w:val="005F0FC3"/>
    <w:rsid w:val="00603CF5"/>
    <w:rsid w:val="0061177E"/>
    <w:rsid w:val="00622C24"/>
    <w:rsid w:val="00623F55"/>
    <w:rsid w:val="0064086A"/>
    <w:rsid w:val="00641473"/>
    <w:rsid w:val="00657504"/>
    <w:rsid w:val="00662FE7"/>
    <w:rsid w:val="006B252C"/>
    <w:rsid w:val="007070F6"/>
    <w:rsid w:val="00707894"/>
    <w:rsid w:val="007208F1"/>
    <w:rsid w:val="007347A3"/>
    <w:rsid w:val="00787714"/>
    <w:rsid w:val="00797055"/>
    <w:rsid w:val="007E32F5"/>
    <w:rsid w:val="0080532E"/>
    <w:rsid w:val="008466E9"/>
    <w:rsid w:val="00857B55"/>
    <w:rsid w:val="0086743A"/>
    <w:rsid w:val="008864C1"/>
    <w:rsid w:val="008923E1"/>
    <w:rsid w:val="008B3173"/>
    <w:rsid w:val="008B62EF"/>
    <w:rsid w:val="00902C69"/>
    <w:rsid w:val="0091573C"/>
    <w:rsid w:val="009277E4"/>
    <w:rsid w:val="00927D46"/>
    <w:rsid w:val="009735E1"/>
    <w:rsid w:val="00974AB7"/>
    <w:rsid w:val="00982BD5"/>
    <w:rsid w:val="009A118C"/>
    <w:rsid w:val="009A40FE"/>
    <w:rsid w:val="009B0FD0"/>
    <w:rsid w:val="009B6A3E"/>
    <w:rsid w:val="009C4059"/>
    <w:rsid w:val="009D7CFA"/>
    <w:rsid w:val="009E0F2B"/>
    <w:rsid w:val="009F4831"/>
    <w:rsid w:val="00A00BEA"/>
    <w:rsid w:val="00A12382"/>
    <w:rsid w:val="00A132DB"/>
    <w:rsid w:val="00A67FF7"/>
    <w:rsid w:val="00A723B4"/>
    <w:rsid w:val="00A761C9"/>
    <w:rsid w:val="00A86E83"/>
    <w:rsid w:val="00A90393"/>
    <w:rsid w:val="00AA43AF"/>
    <w:rsid w:val="00AD2159"/>
    <w:rsid w:val="00AE79F8"/>
    <w:rsid w:val="00B045E5"/>
    <w:rsid w:val="00B2579C"/>
    <w:rsid w:val="00B4504A"/>
    <w:rsid w:val="00B83D9B"/>
    <w:rsid w:val="00BA1E71"/>
    <w:rsid w:val="00BD2E0F"/>
    <w:rsid w:val="00BD37AB"/>
    <w:rsid w:val="00BD7C44"/>
    <w:rsid w:val="00BE3B6F"/>
    <w:rsid w:val="00BE7A47"/>
    <w:rsid w:val="00C10E68"/>
    <w:rsid w:val="00C13EC0"/>
    <w:rsid w:val="00C30023"/>
    <w:rsid w:val="00C33F98"/>
    <w:rsid w:val="00C511B2"/>
    <w:rsid w:val="00C641BA"/>
    <w:rsid w:val="00C70F10"/>
    <w:rsid w:val="00C92A4D"/>
    <w:rsid w:val="00C94F4D"/>
    <w:rsid w:val="00CA5DBE"/>
    <w:rsid w:val="00CA6795"/>
    <w:rsid w:val="00CB0631"/>
    <w:rsid w:val="00CE7A2F"/>
    <w:rsid w:val="00D009D6"/>
    <w:rsid w:val="00D17A75"/>
    <w:rsid w:val="00D272B5"/>
    <w:rsid w:val="00D43359"/>
    <w:rsid w:val="00D60FB0"/>
    <w:rsid w:val="00D6103C"/>
    <w:rsid w:val="00D717D5"/>
    <w:rsid w:val="00DB3B74"/>
    <w:rsid w:val="00DC4E19"/>
    <w:rsid w:val="00DD471E"/>
    <w:rsid w:val="00DD559A"/>
    <w:rsid w:val="00DD7048"/>
    <w:rsid w:val="00DF3A98"/>
    <w:rsid w:val="00E107C7"/>
    <w:rsid w:val="00E139D9"/>
    <w:rsid w:val="00E32CA8"/>
    <w:rsid w:val="00EA2476"/>
    <w:rsid w:val="00EB06EC"/>
    <w:rsid w:val="00ED745B"/>
    <w:rsid w:val="00EE0782"/>
    <w:rsid w:val="00EE2C24"/>
    <w:rsid w:val="00EE54DA"/>
    <w:rsid w:val="00EF0CFC"/>
    <w:rsid w:val="00F0484D"/>
    <w:rsid w:val="00F344CE"/>
    <w:rsid w:val="00F43161"/>
    <w:rsid w:val="00F4661F"/>
    <w:rsid w:val="00F50730"/>
    <w:rsid w:val="00F7573C"/>
    <w:rsid w:val="00F93538"/>
    <w:rsid w:val="00FA7603"/>
    <w:rsid w:val="00FB3B1F"/>
    <w:rsid w:val="00FB54CE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F37A"/>
  <w15:docId w15:val="{59ECBA59-4277-4944-A562-12294673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2CA8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32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rsid w:val="00E32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32C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rsid w:val="00E32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0">
    <w:name w:val="Основной текст (2)"/>
    <w:basedOn w:val="2"/>
    <w:rsid w:val="00E32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E32CA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ody Text Indent"/>
    <w:basedOn w:val="a"/>
    <w:link w:val="a4"/>
    <w:rsid w:val="00C511B2"/>
    <w:pPr>
      <w:widowControl/>
      <w:ind w:firstLine="1134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C511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C511B2"/>
  </w:style>
  <w:style w:type="character" w:customStyle="1" w:styleId="2Exact">
    <w:name w:val="Основной текст (2) Exact"/>
    <w:basedOn w:val="a0"/>
    <w:rsid w:val="00C5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sid w:val="00C511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C51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0pt">
    <w:name w:val="Основной текст (2) + 10 pt;Полужирный"/>
    <w:basedOn w:val="2"/>
    <w:rsid w:val="00C5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5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2pt0">
    <w:name w:val="Основной текст (2) + 12 pt;Полужирный"/>
    <w:basedOn w:val="2"/>
    <w:rsid w:val="00C51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Полужирный;Курсив"/>
    <w:basedOn w:val="2"/>
    <w:rsid w:val="00C511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2">
    <w:name w:val="Основной текст (2) + 12 pt;Курсив"/>
    <w:basedOn w:val="2"/>
    <w:rsid w:val="00C511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BookmanOldStyle7pt">
    <w:name w:val="Основной текст (2) + Bookman Old Style;7 pt;Курсив;Малые прописные"/>
    <w:basedOn w:val="2"/>
    <w:rsid w:val="00C511B2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paragraph" w:customStyle="1" w:styleId="a6">
    <w:name w:val="Подпись к таблице"/>
    <w:basedOn w:val="a"/>
    <w:link w:val="a5"/>
    <w:rsid w:val="00C51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7">
    <w:name w:val="List Paragraph"/>
    <w:basedOn w:val="a"/>
    <w:uiPriority w:val="34"/>
    <w:qFormat/>
    <w:rsid w:val="00C511B2"/>
    <w:pPr>
      <w:ind w:left="720"/>
      <w:contextualSpacing/>
    </w:pPr>
  </w:style>
  <w:style w:type="table" w:styleId="a8">
    <w:name w:val="Table Grid"/>
    <w:basedOn w:val="a1"/>
    <w:uiPriority w:val="39"/>
    <w:rsid w:val="00B8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E07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Just">
    <w:name w:val="Just"/>
    <w:rsid w:val="00E139D9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5D24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11">
    <w:name w:val="rvts11"/>
    <w:basedOn w:val="a0"/>
    <w:rsid w:val="005D2422"/>
  </w:style>
  <w:style w:type="paragraph" w:styleId="a9">
    <w:name w:val="Balloon Text"/>
    <w:basedOn w:val="a"/>
    <w:link w:val="aa"/>
    <w:uiPriority w:val="99"/>
    <w:semiHidden/>
    <w:unhideWhenUsed/>
    <w:rsid w:val="00194A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4ACB"/>
    <w:rPr>
      <w:rFonts w:ascii="Segoe UI" w:eastAsia="DejaVu Sans" w:hAnsi="Segoe UI" w:cs="Segoe UI"/>
      <w:color w:val="000000"/>
      <w:sz w:val="18"/>
      <w:szCs w:val="18"/>
      <w:lang w:eastAsia="uk-UA" w:bidi="uk-UA"/>
    </w:rPr>
  </w:style>
  <w:style w:type="paragraph" w:customStyle="1" w:styleId="11">
    <w:name w:val="Без интервала1"/>
    <w:rsid w:val="002000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6724-8459-4E8A-910B-1FEFF0FA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11</Pages>
  <Words>11911</Words>
  <Characters>6790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2019-02-07T09:44:00Z</cp:lastPrinted>
  <dcterms:created xsi:type="dcterms:W3CDTF">2019-02-05T09:32:00Z</dcterms:created>
  <dcterms:modified xsi:type="dcterms:W3CDTF">2019-02-08T10:03:00Z</dcterms:modified>
</cp:coreProperties>
</file>