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AE09" w14:textId="77777777" w:rsidR="00F23E48" w:rsidRPr="00D30176" w:rsidRDefault="00F23E48" w:rsidP="00F86F41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A116582" w14:textId="77777777" w:rsidR="00F23E48" w:rsidRPr="00D30176" w:rsidRDefault="00F23E48" w:rsidP="00F86F41">
      <w:pPr>
        <w:overflowPunct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38702F0D" w14:textId="77777777" w:rsidR="00F23E48" w:rsidRPr="00D30176" w:rsidRDefault="00F23E48" w:rsidP="00F86F41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Волинської </w:t>
      </w:r>
    </w:p>
    <w:p w14:paraId="42C9E51B" w14:textId="77777777" w:rsidR="00F23E48" w:rsidRPr="00D30176" w:rsidRDefault="00F23E48" w:rsidP="00F86F41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обласної військової адміністрації</w:t>
      </w:r>
    </w:p>
    <w:p w14:paraId="56671F6A" w14:textId="77777777" w:rsidR="00F23E48" w:rsidRPr="00D30176" w:rsidRDefault="00F23E48" w:rsidP="00F86F41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D2D00D8" w14:textId="50935483" w:rsidR="00F23E48" w:rsidRPr="00D30176" w:rsidRDefault="000A4ECB" w:rsidP="00F86F41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23E48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74003" w:rsidRPr="00D301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3E48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</w:p>
    <w:p w14:paraId="5286486B" w14:textId="77777777" w:rsidR="00F23E48" w:rsidRPr="00D30176" w:rsidRDefault="00F23E48" w:rsidP="00F86F41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559A1B65" w14:textId="77777777" w:rsidR="00A53B7D" w:rsidRPr="00D30176" w:rsidRDefault="00A53B7D" w:rsidP="00F86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14:paraId="11775D81" w14:textId="269B0892" w:rsidR="00DF0C71" w:rsidRPr="00D30176" w:rsidRDefault="00A23879" w:rsidP="00F86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надання та </w:t>
      </w:r>
      <w:r w:rsidR="00DF0C71" w:rsidRPr="00D301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викори</w:t>
      </w:r>
      <w:r w:rsidR="005650C6" w:rsidRPr="00D301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стання </w:t>
      </w:r>
      <w:r w:rsidR="005650C6"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коштів обласного бюджету</w:t>
      </w:r>
      <w:r w:rsidR="00A53B7D"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29A3"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часткового </w:t>
      </w:r>
    </w:p>
    <w:p w14:paraId="1419E1A3" w14:textId="71FBE2C0" w:rsidR="00A53B7D" w:rsidRPr="00D30176" w:rsidRDefault="007929A3" w:rsidP="00F86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відшкодування вартості </w:t>
      </w:r>
      <w:r w:rsidR="004C6D55"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об’єктів альтернативної енергетики</w:t>
      </w:r>
    </w:p>
    <w:p w14:paraId="3FF1EBED" w14:textId="7D64F5C0" w:rsidR="007945B4" w:rsidRPr="00D30176" w:rsidRDefault="007945B4" w:rsidP="00F8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5275BC" w14:textId="77777777" w:rsidR="00DF0C71" w:rsidRPr="00D30176" w:rsidRDefault="00DF0C71" w:rsidP="00F86F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14:paraId="2534B533" w14:textId="77777777" w:rsidR="00DF0C71" w:rsidRPr="00D30176" w:rsidRDefault="00DF0C71" w:rsidP="00F8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1A3AFE" w14:textId="5B1A788E" w:rsidR="00F23E48" w:rsidRPr="00D30176" w:rsidRDefault="00F23E48" w:rsidP="00F86F4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</w:t>
      </w:r>
      <w:r w:rsidR="00A2387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та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коштів, передбачених в обласному бюджеті для часткового відшкодування вартості</w:t>
      </w:r>
      <w:r w:rsidR="004C6D5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6D55" w:rsidRPr="00D30176">
        <w:rPr>
          <w:rFonts w:ascii="Times New Roman" w:hAnsi="Times New Roman" w:cs="Times New Roman"/>
          <w:sz w:val="28"/>
          <w:szCs w:val="28"/>
          <w:lang w:val="uk-UA"/>
        </w:rPr>
        <w:t>об’єктів альтернативної енергетики</w:t>
      </w:r>
      <w:r w:rsidR="00855CA0" w:rsidRPr="00D30176">
        <w:rPr>
          <w:rFonts w:ascii="Times New Roman" w:hAnsi="Times New Roman" w:cs="Times New Roman"/>
          <w:sz w:val="28"/>
          <w:szCs w:val="28"/>
          <w:lang w:val="uk-UA"/>
        </w:rPr>
        <w:t>, що генерується з відновлювальних джерел енергії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Порядок)</w:t>
      </w:r>
      <w:r w:rsidR="00E22CF3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механізм надання та використання коштів обласного бюджету для часткового відшкодування вартості </w:t>
      </w:r>
      <w:r w:rsidR="004C6D55" w:rsidRPr="00D30176">
        <w:rPr>
          <w:rFonts w:ascii="Times New Roman" w:hAnsi="Times New Roman" w:cs="Times New Roman"/>
          <w:sz w:val="28"/>
          <w:szCs w:val="28"/>
          <w:lang w:val="uk-UA"/>
        </w:rPr>
        <w:t>об’єктів альтернативної енергетики</w:t>
      </w:r>
      <w:r w:rsidR="004C6D5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</w:t>
      </w:r>
      <w:r w:rsidR="004C6D5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асткове відшкодування).</w:t>
      </w:r>
    </w:p>
    <w:p w14:paraId="16767957" w14:textId="77777777" w:rsidR="004C6D55" w:rsidRPr="00D30176" w:rsidRDefault="004C6D55" w:rsidP="00F86F41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69CC6A" w14:textId="0E25F994" w:rsidR="00F23E48" w:rsidRPr="00D30176" w:rsidRDefault="00F23E48" w:rsidP="00F86F41">
      <w:pPr>
        <w:pStyle w:val="ae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D30176">
        <w:rPr>
          <w:sz w:val="28"/>
          <w:szCs w:val="28"/>
        </w:rPr>
        <w:t>Часткове відшкодування надається в рамках реалізації заходів Комплексної програми розвитку агропромислового комплексу Волинської області на 2023–2026 роки, затвердженої рішенням Волинської обласної ради від 03 листопада 2022 року № 19/3</w:t>
      </w:r>
      <w:r w:rsidR="00855CA0" w:rsidRPr="00D30176">
        <w:rPr>
          <w:sz w:val="28"/>
          <w:szCs w:val="28"/>
        </w:rPr>
        <w:t xml:space="preserve"> у редакції наказу начальника обласної військової адміністрації від 19.10.2023 № 390</w:t>
      </w:r>
      <w:r w:rsidRPr="00D30176">
        <w:rPr>
          <w:sz w:val="28"/>
          <w:szCs w:val="28"/>
        </w:rPr>
        <w:t>.</w:t>
      </w:r>
      <w:r w:rsidRPr="00D30176">
        <w:rPr>
          <w:iCs/>
          <w:sz w:val="28"/>
          <w:szCs w:val="28"/>
        </w:rPr>
        <w:t xml:space="preserve"> </w:t>
      </w:r>
    </w:p>
    <w:p w14:paraId="79D3E0E3" w14:textId="77777777" w:rsidR="00F23E48" w:rsidRPr="00D30176" w:rsidRDefault="00F23E48" w:rsidP="00F86F4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39F270" w14:textId="77777777" w:rsidR="00F86F41" w:rsidRDefault="00554344" w:rsidP="00F86F41">
      <w:pPr>
        <w:pStyle w:val="ae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D30176">
        <w:rPr>
          <w:sz w:val="28"/>
          <w:szCs w:val="28"/>
        </w:rPr>
        <w:t>Головним розпорядни</w:t>
      </w:r>
      <w:r w:rsidR="00D30EB0" w:rsidRPr="00D30176">
        <w:rPr>
          <w:sz w:val="28"/>
          <w:szCs w:val="28"/>
        </w:rPr>
        <w:t xml:space="preserve">ком коштів обласного бюджету є </w:t>
      </w:r>
      <w:r w:rsidR="00A74003" w:rsidRPr="00D30176">
        <w:rPr>
          <w:sz w:val="28"/>
          <w:szCs w:val="28"/>
        </w:rPr>
        <w:t>департамент</w:t>
      </w:r>
      <w:r w:rsidRPr="00D30176">
        <w:rPr>
          <w:sz w:val="28"/>
          <w:szCs w:val="28"/>
        </w:rPr>
        <w:t xml:space="preserve"> агропромислового розвитку </w:t>
      </w:r>
      <w:r w:rsidR="0001224E" w:rsidRPr="00D30176">
        <w:rPr>
          <w:sz w:val="28"/>
          <w:szCs w:val="28"/>
        </w:rPr>
        <w:t xml:space="preserve">Волинської </w:t>
      </w:r>
      <w:r w:rsidRPr="00D30176">
        <w:rPr>
          <w:sz w:val="28"/>
          <w:szCs w:val="28"/>
        </w:rPr>
        <w:t>обл</w:t>
      </w:r>
      <w:r w:rsidR="0001224E" w:rsidRPr="00D30176">
        <w:rPr>
          <w:sz w:val="28"/>
          <w:szCs w:val="28"/>
        </w:rPr>
        <w:t xml:space="preserve">асної </w:t>
      </w:r>
      <w:r w:rsidRPr="00D30176">
        <w:rPr>
          <w:sz w:val="28"/>
          <w:szCs w:val="28"/>
        </w:rPr>
        <w:t>держ</w:t>
      </w:r>
      <w:r w:rsidR="0001224E" w:rsidRPr="00D30176">
        <w:rPr>
          <w:sz w:val="28"/>
          <w:szCs w:val="28"/>
        </w:rPr>
        <w:t xml:space="preserve">авної </w:t>
      </w:r>
      <w:r w:rsidRPr="00D30176">
        <w:rPr>
          <w:sz w:val="28"/>
          <w:szCs w:val="28"/>
        </w:rPr>
        <w:t>адміністрації</w:t>
      </w:r>
      <w:r w:rsidR="00F23E48" w:rsidRPr="00D30176">
        <w:rPr>
          <w:sz w:val="28"/>
          <w:szCs w:val="28"/>
        </w:rPr>
        <w:t xml:space="preserve"> (далі - </w:t>
      </w:r>
      <w:r w:rsidR="00A74003" w:rsidRPr="00D30176">
        <w:rPr>
          <w:sz w:val="28"/>
          <w:szCs w:val="28"/>
        </w:rPr>
        <w:t>департамент</w:t>
      </w:r>
      <w:r w:rsidR="00F23E48" w:rsidRPr="00D30176">
        <w:rPr>
          <w:sz w:val="28"/>
          <w:szCs w:val="28"/>
        </w:rPr>
        <w:t>)</w:t>
      </w:r>
      <w:r w:rsidRPr="00D30176">
        <w:rPr>
          <w:sz w:val="28"/>
          <w:szCs w:val="28"/>
        </w:rPr>
        <w:t>.</w:t>
      </w:r>
    </w:p>
    <w:p w14:paraId="15168C28" w14:textId="77777777" w:rsidR="00F86F41" w:rsidRDefault="00F86F41" w:rsidP="00F86F41">
      <w:pPr>
        <w:pStyle w:val="a4"/>
        <w:spacing w:after="0" w:line="240" w:lineRule="auto"/>
        <w:rPr>
          <w:sz w:val="28"/>
          <w:szCs w:val="28"/>
        </w:rPr>
      </w:pPr>
    </w:p>
    <w:p w14:paraId="38969561" w14:textId="37E78083" w:rsidR="00A06333" w:rsidRPr="00F86F41" w:rsidRDefault="00451BC1" w:rsidP="00F86F41">
      <w:pPr>
        <w:pStyle w:val="ae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F86F41">
        <w:rPr>
          <w:sz w:val="28"/>
          <w:szCs w:val="28"/>
        </w:rPr>
        <w:t xml:space="preserve">Отримувачами бюджетних коштів є </w:t>
      </w:r>
      <w:bookmarkStart w:id="0" w:name="_Hlk127447910"/>
      <w:r w:rsidRPr="00F86F41">
        <w:rPr>
          <w:sz w:val="28"/>
          <w:szCs w:val="28"/>
        </w:rPr>
        <w:t xml:space="preserve">юридичні особи незалежно від організаційно-правової форми </w:t>
      </w:r>
      <w:r w:rsidR="00D30EB0" w:rsidRPr="00F86F41">
        <w:rPr>
          <w:sz w:val="28"/>
          <w:szCs w:val="28"/>
        </w:rPr>
        <w:t>і</w:t>
      </w:r>
      <w:r w:rsidRPr="00F86F41">
        <w:rPr>
          <w:sz w:val="28"/>
          <w:szCs w:val="28"/>
        </w:rPr>
        <w:t xml:space="preserve"> форми власності </w:t>
      </w:r>
      <w:bookmarkEnd w:id="0"/>
      <w:r w:rsidRPr="00F86F41">
        <w:rPr>
          <w:sz w:val="28"/>
          <w:szCs w:val="28"/>
        </w:rPr>
        <w:t xml:space="preserve">які зареєстровані </w:t>
      </w:r>
      <w:r w:rsidR="00A06333" w:rsidRPr="00F86F41">
        <w:rPr>
          <w:sz w:val="28"/>
          <w:szCs w:val="28"/>
        </w:rPr>
        <w:t>в установленому законом порядку в територіальних органах Державної податкової служби України Волинської області</w:t>
      </w:r>
      <w:r w:rsidRPr="00F86F41">
        <w:rPr>
          <w:sz w:val="28"/>
          <w:szCs w:val="28"/>
        </w:rPr>
        <w:t xml:space="preserve">, </w:t>
      </w:r>
      <w:bookmarkStart w:id="1" w:name="_Hlk127448065"/>
      <w:r w:rsidR="00A74003" w:rsidRPr="00F86F41">
        <w:rPr>
          <w:sz w:val="28"/>
          <w:szCs w:val="28"/>
        </w:rPr>
        <w:t>мають основний вид діяльності сільського господарства (секція А, розділ 01), або переробної промисловості (секція С, розділ</w:t>
      </w:r>
      <w:r w:rsidR="001A475C" w:rsidRPr="00F86F41">
        <w:rPr>
          <w:sz w:val="28"/>
          <w:szCs w:val="28"/>
        </w:rPr>
        <w:t>и</w:t>
      </w:r>
      <w:r w:rsidR="00A74003" w:rsidRPr="00F86F41">
        <w:rPr>
          <w:sz w:val="28"/>
          <w:szCs w:val="28"/>
        </w:rPr>
        <w:t xml:space="preserve"> 10</w:t>
      </w:r>
      <w:r w:rsidR="001A475C" w:rsidRPr="00F86F41">
        <w:rPr>
          <w:sz w:val="28"/>
          <w:szCs w:val="28"/>
        </w:rPr>
        <w:t>, 11</w:t>
      </w:r>
      <w:r w:rsidR="00A74003" w:rsidRPr="00F86F41">
        <w:rPr>
          <w:sz w:val="28"/>
          <w:szCs w:val="28"/>
        </w:rPr>
        <w:t xml:space="preserve">), </w:t>
      </w:r>
      <w:r w:rsidR="00AD3B1F" w:rsidRPr="00F86F41">
        <w:rPr>
          <w:sz w:val="28"/>
          <w:szCs w:val="28"/>
        </w:rPr>
        <w:t xml:space="preserve">або </w:t>
      </w:r>
      <w:r w:rsidR="00F851FF" w:rsidRPr="00F86F41">
        <w:rPr>
          <w:sz w:val="28"/>
          <w:szCs w:val="28"/>
        </w:rPr>
        <w:t xml:space="preserve">заклади професійної (професійно-технічної) освіти, </w:t>
      </w:r>
      <w:r w:rsidR="00E212C0" w:rsidRPr="00F86F41">
        <w:rPr>
          <w:sz w:val="28"/>
          <w:szCs w:val="28"/>
        </w:rPr>
        <w:t xml:space="preserve">фахової </w:t>
      </w:r>
      <w:proofErr w:type="spellStart"/>
      <w:r w:rsidR="00E212C0" w:rsidRPr="00F86F41">
        <w:rPr>
          <w:sz w:val="28"/>
          <w:szCs w:val="28"/>
        </w:rPr>
        <w:t>передвищої</w:t>
      </w:r>
      <w:proofErr w:type="spellEnd"/>
      <w:r w:rsidR="00E212C0" w:rsidRPr="00F86F41">
        <w:rPr>
          <w:sz w:val="28"/>
          <w:szCs w:val="28"/>
        </w:rPr>
        <w:t xml:space="preserve"> освіти, </w:t>
      </w:r>
      <w:r w:rsidR="00F851FF" w:rsidRPr="00F86F41">
        <w:rPr>
          <w:sz w:val="28"/>
          <w:szCs w:val="28"/>
        </w:rPr>
        <w:t xml:space="preserve">учбові центри незалежно від форм власності та підпорядкування, що </w:t>
      </w:r>
      <w:r w:rsidR="00393FE4" w:rsidRPr="00F86F41">
        <w:rPr>
          <w:sz w:val="28"/>
          <w:szCs w:val="28"/>
        </w:rPr>
        <w:t xml:space="preserve">надають освітні послуги, </w:t>
      </w:r>
      <w:r w:rsidR="00A74003" w:rsidRPr="00F86F41">
        <w:rPr>
          <w:sz w:val="28"/>
          <w:szCs w:val="28"/>
        </w:rPr>
        <w:t xml:space="preserve">здійснюють </w:t>
      </w:r>
      <w:r w:rsidR="00AD3B1F" w:rsidRPr="00F86F41">
        <w:rPr>
          <w:sz w:val="28"/>
          <w:szCs w:val="28"/>
        </w:rPr>
        <w:t>підготовку, перепідготовку, підвищення кваліфікації робітничих кадрів для сільськогосподарських підприємств, фермерських, особистих селянських господарств та провод</w:t>
      </w:r>
      <w:r w:rsidR="00F851FF" w:rsidRPr="00F86F41">
        <w:rPr>
          <w:sz w:val="28"/>
          <w:szCs w:val="28"/>
        </w:rPr>
        <w:t>я</w:t>
      </w:r>
      <w:r w:rsidR="00AD3B1F" w:rsidRPr="00F86F41">
        <w:rPr>
          <w:sz w:val="28"/>
          <w:szCs w:val="28"/>
        </w:rPr>
        <w:t>ть підвищення кваліфікації спеціалістів аграрної галузі</w:t>
      </w:r>
      <w:r w:rsidRPr="00F86F41">
        <w:rPr>
          <w:sz w:val="28"/>
          <w:szCs w:val="28"/>
        </w:rPr>
        <w:t xml:space="preserve"> </w:t>
      </w:r>
      <w:bookmarkEnd w:id="1"/>
      <w:r w:rsidR="00565D65" w:rsidRPr="00F86F41">
        <w:rPr>
          <w:sz w:val="28"/>
          <w:szCs w:val="28"/>
        </w:rPr>
        <w:t>(далі -</w:t>
      </w:r>
      <w:r w:rsidRPr="00F86F41">
        <w:rPr>
          <w:sz w:val="28"/>
          <w:szCs w:val="28"/>
        </w:rPr>
        <w:t xml:space="preserve"> </w:t>
      </w:r>
      <w:r w:rsidR="00D30176" w:rsidRPr="00F86F41">
        <w:rPr>
          <w:sz w:val="28"/>
          <w:szCs w:val="28"/>
        </w:rPr>
        <w:t>користувачі</w:t>
      </w:r>
      <w:r w:rsidR="002452E2" w:rsidRPr="00F86F41">
        <w:rPr>
          <w:sz w:val="28"/>
          <w:szCs w:val="28"/>
        </w:rPr>
        <w:t>)</w:t>
      </w:r>
      <w:r w:rsidR="003772E1" w:rsidRPr="00F86F41">
        <w:rPr>
          <w:sz w:val="28"/>
          <w:szCs w:val="28"/>
        </w:rPr>
        <w:t>.</w:t>
      </w:r>
    </w:p>
    <w:p w14:paraId="5615C06E" w14:textId="77777777" w:rsidR="00F86F41" w:rsidRPr="00F86F41" w:rsidRDefault="00F86F41" w:rsidP="00F86F41">
      <w:pPr>
        <w:pStyle w:val="ae"/>
        <w:tabs>
          <w:tab w:val="left" w:pos="993"/>
        </w:tabs>
        <w:spacing w:before="0" w:beforeAutospacing="0" w:after="0" w:afterAutospacing="0"/>
        <w:rPr>
          <w:iCs/>
          <w:sz w:val="28"/>
          <w:szCs w:val="28"/>
        </w:rPr>
      </w:pPr>
    </w:p>
    <w:p w14:paraId="3A946071" w14:textId="06E2BC55" w:rsidR="001771AF" w:rsidRPr="00D30176" w:rsidRDefault="008A0777" w:rsidP="00F86F41">
      <w:pPr>
        <w:pStyle w:val="ae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D30176">
        <w:rPr>
          <w:sz w:val="28"/>
          <w:szCs w:val="28"/>
        </w:rPr>
        <w:t>Часткове відшкодування здійснюється на безповоротній о</w:t>
      </w:r>
      <w:r w:rsidR="00565D65" w:rsidRPr="00D30176">
        <w:rPr>
          <w:sz w:val="28"/>
          <w:szCs w:val="28"/>
        </w:rPr>
        <w:t xml:space="preserve">снові </w:t>
      </w:r>
      <w:r w:rsidR="00D30176" w:rsidRPr="00D30176">
        <w:rPr>
          <w:sz w:val="28"/>
          <w:szCs w:val="28"/>
        </w:rPr>
        <w:t>користувачам</w:t>
      </w:r>
      <w:r w:rsidR="002452E2" w:rsidRPr="00D30176">
        <w:rPr>
          <w:sz w:val="28"/>
          <w:szCs w:val="28"/>
        </w:rPr>
        <w:t xml:space="preserve"> </w:t>
      </w:r>
      <w:r w:rsidRPr="00D30176">
        <w:rPr>
          <w:sz w:val="28"/>
          <w:szCs w:val="28"/>
        </w:rPr>
        <w:t xml:space="preserve">за закуплені ними </w:t>
      </w:r>
      <w:r w:rsidR="00B7439A" w:rsidRPr="00D30176">
        <w:rPr>
          <w:sz w:val="28"/>
          <w:szCs w:val="28"/>
        </w:rPr>
        <w:t xml:space="preserve">об’єкти альтернативної енергетики </w:t>
      </w:r>
      <w:r w:rsidRPr="00D30176">
        <w:rPr>
          <w:sz w:val="28"/>
          <w:szCs w:val="28"/>
        </w:rPr>
        <w:t xml:space="preserve">у період </w:t>
      </w:r>
      <w:r w:rsidR="00417481" w:rsidRPr="00D30176">
        <w:rPr>
          <w:sz w:val="28"/>
          <w:szCs w:val="28"/>
        </w:rPr>
        <w:t>дії воєнного стану</w:t>
      </w:r>
      <w:r w:rsidR="00466E6D" w:rsidRPr="00D30176">
        <w:rPr>
          <w:sz w:val="28"/>
          <w:szCs w:val="28"/>
        </w:rPr>
        <w:t xml:space="preserve"> в розмірі до 25 відсотків вартості (без податку на додан</w:t>
      </w:r>
      <w:r w:rsidR="00223D94" w:rsidRPr="00D30176">
        <w:rPr>
          <w:sz w:val="28"/>
          <w:szCs w:val="28"/>
        </w:rPr>
        <w:t xml:space="preserve">у </w:t>
      </w:r>
      <w:r w:rsidR="00223D94" w:rsidRPr="00D30176">
        <w:rPr>
          <w:sz w:val="28"/>
          <w:szCs w:val="28"/>
        </w:rPr>
        <w:lastRenderedPageBreak/>
        <w:t>вартість), але не більш ніж 50</w:t>
      </w:r>
      <w:r w:rsidR="00AD3B1F" w:rsidRPr="00D30176">
        <w:rPr>
          <w:sz w:val="28"/>
          <w:szCs w:val="28"/>
        </w:rPr>
        <w:t>0</w:t>
      </w:r>
      <w:r w:rsidR="00466E6D" w:rsidRPr="00D30176">
        <w:rPr>
          <w:sz w:val="28"/>
          <w:szCs w:val="28"/>
        </w:rPr>
        <w:t xml:space="preserve"> тисяч гривень </w:t>
      </w:r>
      <w:r w:rsidR="00AD3B1F" w:rsidRPr="00D30176">
        <w:rPr>
          <w:sz w:val="28"/>
          <w:szCs w:val="28"/>
        </w:rPr>
        <w:t xml:space="preserve">на одного </w:t>
      </w:r>
      <w:r w:rsidR="00D30176" w:rsidRPr="00D30176">
        <w:rPr>
          <w:sz w:val="28"/>
          <w:szCs w:val="28"/>
        </w:rPr>
        <w:t xml:space="preserve">користувача </w:t>
      </w:r>
      <w:r w:rsidR="00AD3B1F" w:rsidRPr="00D30176">
        <w:rPr>
          <w:sz w:val="28"/>
          <w:szCs w:val="28"/>
        </w:rPr>
        <w:t>з урахуванням пов’язаних з ним осіб у значенні підпункту 14.1.159 пункту 14.1 статті 14 Податкового кодексу України</w:t>
      </w:r>
      <w:r w:rsidR="00466E6D" w:rsidRPr="00D30176">
        <w:rPr>
          <w:sz w:val="28"/>
          <w:szCs w:val="28"/>
        </w:rPr>
        <w:t>.</w:t>
      </w:r>
    </w:p>
    <w:p w14:paraId="3BFF971D" w14:textId="5754FACA" w:rsidR="00451BC1" w:rsidRPr="00D30176" w:rsidRDefault="00451BC1" w:rsidP="00F86F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ADC00" w14:textId="6D9C2350" w:rsidR="00582D51" w:rsidRPr="00D30176" w:rsidRDefault="00582D51" w:rsidP="00F86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650C6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Порядок відбору заявок для</w:t>
      </w:r>
      <w:r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отримання </w:t>
      </w:r>
      <w:r w:rsidR="00855CA0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r w:rsidR="00FA3729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асткового відшкодування</w:t>
      </w:r>
    </w:p>
    <w:p w14:paraId="72260D9E" w14:textId="38E5585D" w:rsidR="00451BC1" w:rsidRPr="00D30176" w:rsidRDefault="00451BC1" w:rsidP="00F86F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56482" w14:textId="4CFD2762" w:rsidR="000004F8" w:rsidRPr="00D30176" w:rsidRDefault="00582D51" w:rsidP="00F86F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372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F8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Право на одержання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асткового відшкодування</w:t>
      </w:r>
      <w:r w:rsidR="00FA372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F8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004F8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які:</w:t>
      </w:r>
    </w:p>
    <w:p w14:paraId="6B78DE12" w14:textId="77777777" w:rsidR="00A06333" w:rsidRPr="00D30176" w:rsidRDefault="00A06333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зареєстровані в установленому законом порядку в територіальних органах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податкової служби України Волинської області та сплачують податки та інші обов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язкові платежі до місцевих бюджетів Волинської області; </w:t>
      </w:r>
    </w:p>
    <w:p w14:paraId="517BCC43" w14:textId="3717707D" w:rsidR="00451BC1" w:rsidRPr="00D30176" w:rsidRDefault="002F4EE1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не мають заборгованості зі сплати податків, зборів та інших обов’язкових платежів.</w:t>
      </w:r>
    </w:p>
    <w:p w14:paraId="6AEA69E5" w14:textId="3DED7259" w:rsidR="002F4EE1" w:rsidRPr="00D30176" w:rsidRDefault="002F4EE1" w:rsidP="00F86F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F0BF9C" w14:textId="79500515" w:rsidR="005467FA" w:rsidRPr="00D30176" w:rsidRDefault="00582D51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4EE1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B23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відбору </w:t>
      </w:r>
      <w:r w:rsidR="002F4EE1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заявок, за якими надається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асткове відшкодування</w:t>
      </w:r>
      <w:r w:rsidR="00D30EB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A372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3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Волинська обласна державна адміністрація утворює </w:t>
      </w:r>
      <w:r w:rsidR="005467F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AB23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7776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надання фінансової підтримки </w:t>
      </w:r>
      <w:r w:rsidR="00A32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обласного бюджету</w:t>
      </w:r>
      <w:r w:rsidR="00C7776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Комісія)</w:t>
      </w:r>
      <w:r w:rsidR="00AB23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яку очолює заступник голови Волинської обласної державної адміністрації, відповідно до розподілу обов’язків між головою, першим заступником та заступниками голови обласної державної адміністрації. </w:t>
      </w:r>
      <w:r w:rsidR="00AA115D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Кількісний склад </w:t>
      </w:r>
      <w:r w:rsidR="00AA115D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Комісії повинен бути непарним і становити не менше семи осіб. </w:t>
      </w:r>
      <w:r w:rsidR="005467FA" w:rsidRPr="00D30176">
        <w:rPr>
          <w:rFonts w:ascii="Times New Roman" w:eastAsia="DejaVu Sans" w:hAnsi="Times New Roman" w:cs="Times New Roman"/>
          <w:sz w:val="28"/>
          <w:szCs w:val="28"/>
          <w:lang w:val="uk-UA" w:eastAsia="ar-SA"/>
        </w:rPr>
        <w:t>До складу</w:t>
      </w:r>
      <w:r w:rsidR="00C7776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467F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омісії за згодою можуть бути залучені спеціалісти структурних підрозділів облдержадміністрації, </w:t>
      </w:r>
      <w:r w:rsidR="00AA115D" w:rsidRPr="00D30176">
        <w:rPr>
          <w:rFonts w:ascii="Times New Roman" w:hAnsi="Times New Roman" w:cs="Times New Roman"/>
          <w:sz w:val="28"/>
          <w:szCs w:val="28"/>
          <w:lang w:val="uk-UA"/>
        </w:rPr>
        <w:t>територіальних органів Державної податкової служби України</w:t>
      </w:r>
      <w:r w:rsidR="00D30EB0" w:rsidRPr="00D30176">
        <w:rPr>
          <w:rFonts w:ascii="Times New Roman" w:hAnsi="Times New Roman" w:cs="Times New Roman"/>
          <w:sz w:val="28"/>
          <w:szCs w:val="28"/>
          <w:lang w:val="uk-UA"/>
        </w:rPr>
        <w:t>, депутати обласної ради</w:t>
      </w:r>
      <w:r w:rsidR="005467F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та інші. </w:t>
      </w:r>
    </w:p>
    <w:p w14:paraId="120E957B" w14:textId="14F9F6D0" w:rsidR="005467FA" w:rsidRPr="00D30176" w:rsidRDefault="005467FA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Члени </w:t>
      </w:r>
      <w:r w:rsidR="00C77760"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A3729"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омісії</w:t>
      </w:r>
      <w:r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зобов’язані не допускати виникнення конфлікту інтересів відповідно до пункту 1 статті 28 Закону України «Про </w:t>
      </w:r>
      <w:r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запобігання корупції»</w:t>
      </w:r>
      <w:r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14:paraId="36A4EC59" w14:textId="77777777" w:rsidR="008328F2" w:rsidRPr="00D30176" w:rsidRDefault="008328F2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475E81" w14:textId="7332827E" w:rsidR="005467FA" w:rsidRPr="00D30176" w:rsidRDefault="00FA3729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Комісія</w:t>
      </w:r>
      <w:r w:rsidR="005467FA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своїй діяльності керується Конституцією України, законами України, указами і розпорядженнями Президента України, актами Кабінету Міністрів України, </w:t>
      </w:r>
      <w:r w:rsidR="00FA0E44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наказами </w:t>
      </w:r>
      <w:r w:rsidR="005467FA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центральних органів виконавчої влади, розпорядженнями </w:t>
      </w:r>
      <w:r w:rsidR="005467F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</w:t>
      </w:r>
      <w:r w:rsidR="005467F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FA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державної адміністрації, рішеннями </w:t>
      </w:r>
      <w:r w:rsidR="005467F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</w:t>
      </w:r>
      <w:r w:rsidR="005467FA" w:rsidRPr="00D301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467FA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 ради та цим Порядком.</w:t>
      </w:r>
    </w:p>
    <w:p w14:paraId="0030A83F" w14:textId="77777777" w:rsidR="00806535" w:rsidRPr="00D30176" w:rsidRDefault="00806535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015F91" w14:textId="1A7562FE" w:rsidR="005467FA" w:rsidRPr="00D30176" w:rsidRDefault="008328F2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67F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Організаційне забезпечення відбору заявок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 w:rsidR="00D30176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отримання часткового відшкодування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</w:t>
      </w:r>
      <w:r w:rsidR="00720DCE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секретарем Комісії</w:t>
      </w:r>
      <w:r w:rsidR="005467F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CF3657" w14:textId="77777777" w:rsidR="00806535" w:rsidRPr="00D30176" w:rsidRDefault="00806535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66F65C" w14:textId="5A628011" w:rsidR="00FA0E44" w:rsidRPr="00D30176" w:rsidRDefault="00E22CF3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FA0E44" w:rsidRPr="00D30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720DCE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Комісії</w:t>
      </w:r>
      <w:r w:rsidR="005F0837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E44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 оголошен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про початок прийому заявок для</w:t>
      </w:r>
      <w:r w:rsidR="00FA0E44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отримання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асткового відшкодування</w:t>
      </w:r>
      <w:r w:rsidR="00FA372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E44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оприлюднює його на офіційному вебсайті </w:t>
      </w:r>
      <w:r w:rsidR="005F083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</w:t>
      </w:r>
      <w:r w:rsidR="00FA0E44" w:rsidRPr="00D3017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FA0E44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 та інших </w:t>
      </w:r>
      <w:proofErr w:type="spellStart"/>
      <w:r w:rsidR="00FA0E44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вебресурсах</w:t>
      </w:r>
      <w:proofErr w:type="spellEnd"/>
      <w:r w:rsidR="00FA0E44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05FEA3" w14:textId="4D486D8F" w:rsidR="00FA0E44" w:rsidRPr="00D30176" w:rsidRDefault="00FA0E44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Оголошення повинно обов’язково містити відомості про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організатора відбору заявок,</w:t>
      </w:r>
      <w:r w:rsidR="0011449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EB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адресу, </w:t>
      </w:r>
      <w:r w:rsidR="00114490" w:rsidRPr="00D30176">
        <w:rPr>
          <w:rFonts w:ascii="Times New Roman" w:hAnsi="Times New Roman" w:cs="Times New Roman"/>
          <w:sz w:val="28"/>
          <w:szCs w:val="28"/>
          <w:lang w:val="uk-UA"/>
        </w:rPr>
        <w:t>дату та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проведення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відбору заявок,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заявки на участь у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відборі,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документів, що додаються до заявки,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кінцевий строк прийняття документів,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контактні телефони для отримання довідкової інформації. </w:t>
      </w:r>
    </w:p>
    <w:p w14:paraId="18029ED8" w14:textId="77777777" w:rsidR="00806535" w:rsidRPr="00D30176" w:rsidRDefault="00806535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0DA14" w14:textId="2D82AC20" w:rsidR="00FA0E44" w:rsidRPr="00D30176" w:rsidRDefault="00E22CF3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2D51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0E44" w:rsidRPr="00D30176">
        <w:rPr>
          <w:rFonts w:ascii="Times New Roman" w:hAnsi="Times New Roman" w:cs="Times New Roman"/>
          <w:sz w:val="28"/>
          <w:szCs w:val="28"/>
          <w:lang w:val="uk-UA"/>
        </w:rPr>
        <w:t>Для отри</w:t>
      </w:r>
      <w:r w:rsidR="0012593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мання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відшкодування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користувачі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подають у паперовій формі </w:t>
      </w:r>
      <w:r w:rsidR="00720DCE" w:rsidRPr="00D3017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20DCE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екретарю Комісії</w:t>
      </w:r>
      <w:r w:rsidR="00720DCE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E44" w:rsidRPr="00D30176">
        <w:rPr>
          <w:rFonts w:ascii="Times New Roman" w:hAnsi="Times New Roman" w:cs="Times New Roman"/>
          <w:sz w:val="28"/>
          <w:szCs w:val="28"/>
          <w:lang w:val="uk-UA"/>
        </w:rPr>
        <w:t>такі документи:</w:t>
      </w:r>
    </w:p>
    <w:p w14:paraId="6A0B1B70" w14:textId="0F90B39D" w:rsidR="00FA0E44" w:rsidRPr="00D30176" w:rsidRDefault="00FA0E44" w:rsidP="00F86F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заявку</w:t>
      </w:r>
      <w:r w:rsidR="00B6576B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 з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B6576B" w:rsidRPr="00D3017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6576B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Порядку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28804A" w14:textId="77777777" w:rsidR="00FA0E44" w:rsidRPr="00D30176" w:rsidRDefault="00FA0E44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- копію витягу з Єдиного державного реєстру юридичних осіб, фізичних осіб-підприємців та громадських формувань;</w:t>
      </w:r>
    </w:p>
    <w:p w14:paraId="434ED755" w14:textId="2DD5E1B9" w:rsidR="00FA0E44" w:rsidRPr="00D30176" w:rsidRDefault="00FA0E44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- довідку про відсутність заборгованості з платежів, контроль за справлянням яких покладено на контролюючі органи, станом на дату подання документів;</w:t>
      </w:r>
    </w:p>
    <w:p w14:paraId="42A7A355" w14:textId="54E7B858" w:rsidR="00FA0E44" w:rsidRPr="00D30176" w:rsidRDefault="00FA0E44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593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засвідчені підписом керівника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копії платіжних документів</w:t>
      </w:r>
      <w:r w:rsidR="00AA148B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(первинні документи</w:t>
      </w:r>
      <w:r w:rsidR="000A3CB5" w:rsidRPr="00D301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148B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, які підтверджують факт здійснення оплати за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>об’єкти альтернативної енергетики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9F213D" w14:textId="45BE7161" w:rsidR="000B16A5" w:rsidRPr="00D30176" w:rsidRDefault="001F5597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16A5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 із зазначенням технічних характеристик та серійного номера </w:t>
      </w:r>
      <w:r w:rsidR="000A3CB5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(або інше заводське маркування) </w:t>
      </w:r>
      <w:r w:rsidR="000B16A5" w:rsidRPr="00D30176">
        <w:rPr>
          <w:rFonts w:ascii="Times New Roman" w:hAnsi="Times New Roman" w:cs="Times New Roman"/>
          <w:sz w:val="28"/>
          <w:szCs w:val="28"/>
          <w:lang w:val="uk-UA"/>
        </w:rPr>
        <w:t>придбан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B16A5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>об’єктів альтернативної енергетики</w:t>
      </w:r>
      <w:r w:rsidR="000B16A5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DBFBA4C" w14:textId="28CB39DB" w:rsidR="001F5597" w:rsidRPr="00D30176" w:rsidRDefault="00FA0E44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F5732D" w:rsidRPr="00D30176">
        <w:rPr>
          <w:rFonts w:ascii="Times New Roman" w:hAnsi="Times New Roman" w:cs="Times New Roman"/>
          <w:sz w:val="28"/>
          <w:szCs w:val="28"/>
          <w:lang w:val="uk-UA"/>
        </w:rPr>
        <w:t>реквізити міжнародного номера банківського рахунку</w:t>
      </w:r>
      <w:r w:rsidR="001F5597" w:rsidRPr="00D3017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1ACCF7" w14:textId="77777777" w:rsidR="00806535" w:rsidRPr="00D30176" w:rsidRDefault="00806535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CD096" w14:textId="3BD4E2CD" w:rsidR="001F5597" w:rsidRPr="00D30176" w:rsidRDefault="00E22CF3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20DCE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Комісії</w:t>
      </w:r>
      <w:r w:rsidR="00720DCE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прийом документів, перевірку наявності повного пакету док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ументів, передбаченого пунктом 5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Порядку, та реєстрацію заявок </w:t>
      </w:r>
      <w:r w:rsidR="000A3CB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A3CB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ідповідному 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журналі 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</w:t>
      </w:r>
      <w:r w:rsidR="000A3CB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формою згідно з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CB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додатком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0A3CB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Порядку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4A7280" w14:textId="22432EAB" w:rsidR="001F5597" w:rsidRPr="00D30176" w:rsidRDefault="001F5597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подаються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користувачем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(уповноваженим ним представником за довіреністю), який надає згоду на збір та обробку персональних даних відповідно до Закону України «Про захист персональних даних», про що зазначається у заявці на участь у відборі. </w:t>
      </w:r>
    </w:p>
    <w:p w14:paraId="5BC9826E" w14:textId="4497142E" w:rsidR="001F5597" w:rsidRPr="00D30176" w:rsidRDefault="001F5597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подається неповний комплект документів або з порушенням вимог цього Порядку, такі документи </w:t>
      </w:r>
      <w:r w:rsidR="0012593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реєструються і повертаються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користувачу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9DA7C7" w14:textId="1F2E11BE" w:rsidR="001F5597" w:rsidRPr="00D30176" w:rsidRDefault="001F5597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</w:t>
      </w:r>
      <w:r w:rsidR="0012593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усунення виявлених недоліків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закінчення терміну подання заявок має право подати заявку повторно. </w:t>
      </w:r>
    </w:p>
    <w:p w14:paraId="3D900980" w14:textId="77777777" w:rsidR="00806535" w:rsidRPr="00D30176" w:rsidRDefault="00806535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B3E05" w14:textId="5897FA15" w:rsidR="00F55119" w:rsidRPr="00D30176" w:rsidRDefault="00F55119" w:rsidP="00F86F4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отримання пакету документів від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користувача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B46A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його згодою (</w:t>
      </w:r>
      <w:r w:rsidR="00DB46A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уповноваженого ним представника за довіреністю), 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</w:t>
      </w:r>
      <w:r w:rsidR="00373DBC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 проводять обстеження об’єктів альтернативної енергетики</w:t>
      </w:r>
      <w:r w:rsidR="00373DBC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результатами обстеження, склада</w:t>
      </w:r>
      <w:r w:rsidR="00DB46A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</w:t>
      </w:r>
      <w:r w:rsidR="00373DBC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обстеження у двох примірниках, один з яких надається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користувачу</w:t>
      </w:r>
      <w:r w:rsidR="00D30176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6A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373DBC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фотозйомка.</w:t>
      </w:r>
      <w:r w:rsidR="00DB46A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 обстеження та фотоматеріали долучаються до переліку поданих документів, зазначених у пункті 5 </w:t>
      </w:r>
      <w:r w:rsidR="00FD5E9E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2 </w:t>
      </w:r>
      <w:r w:rsidR="00DB46A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Порядку.</w:t>
      </w:r>
    </w:p>
    <w:p w14:paraId="21DD8ACB" w14:textId="77777777" w:rsidR="00373DBC" w:rsidRPr="00D30176" w:rsidRDefault="00373DBC" w:rsidP="00F86F41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53AD5B" w14:textId="37A0760C" w:rsidR="00F55119" w:rsidRPr="00D30176" w:rsidRDefault="00720DCE" w:rsidP="00F86F4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Комісії 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пізніше, ніж за 5 робочих дня після завершення строку подачі документів формує 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 отримувач</w:t>
      </w:r>
      <w:r w:rsidR="00125930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ів, що претендують на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асткове відшкодування </w:t>
      </w:r>
      <w:r w:rsidR="000A3CB5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формою згідно з додатком 3 до цього Порядку </w:t>
      </w:r>
      <w:r w:rsidR="00FA372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готує відповідні матеріали на розгляд </w:t>
      </w:r>
      <w:r w:rsidR="00AA115D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="001F5597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B0D3A71" w14:textId="77777777" w:rsidR="00373DBC" w:rsidRPr="00D30176" w:rsidRDefault="00373DBC" w:rsidP="00F86F41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E0FAE" w14:textId="396A0F33" w:rsidR="00B86509" w:rsidRPr="00D30176" w:rsidRDefault="00B86509" w:rsidP="00F86F41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2593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йняття рішення щодо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, яким буде надано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часткове відшкодування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, здійснюється </w:t>
      </w:r>
      <w:r w:rsidR="00AA115D" w:rsidRPr="00D3017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омісією в день проведення засідання та оформляється протоколом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підписують усі присутні на засіданні члени </w:t>
      </w:r>
      <w:r w:rsidR="00AA115D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омісії. </w:t>
      </w:r>
    </w:p>
    <w:p w14:paraId="059C73FC" w14:textId="19D0174F" w:rsidR="00B86509" w:rsidRPr="00D30176" w:rsidRDefault="00AA115D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К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 є правомочним у разі присутності не менше двох третин від загального складу. </w:t>
      </w:r>
    </w:p>
    <w:p w14:paraId="30629700" w14:textId="26C750B9" w:rsidR="00B86509" w:rsidRPr="00D30176" w:rsidRDefault="00A85573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 бюджетних коштів між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користувачами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proofErr w:type="spellStart"/>
      <w:r w:rsidRPr="00D30176"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в межах бюджетних асигнувань.</w:t>
      </w:r>
    </w:p>
    <w:p w14:paraId="6F9E957B" w14:textId="4327B8F5" w:rsidR="00D30EB0" w:rsidRPr="00D30176" w:rsidRDefault="00D30EB0" w:rsidP="00F86F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Комісія має право відмовити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користувачу у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разі виявлення факту подання </w:t>
      </w:r>
      <w:r w:rsidR="00720DCE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недостовірної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інформації.</w:t>
      </w:r>
    </w:p>
    <w:p w14:paraId="514799CA" w14:textId="65EF635F" w:rsidR="00B86509" w:rsidRPr="00D30176" w:rsidRDefault="0033567A" w:rsidP="00F86F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="00B8650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 </w:t>
      </w:r>
      <w:r w:rsidR="00A85573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реєстр </w:t>
      </w:r>
      <w:r w:rsidR="00125930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отримувачів, що претендують на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85573" w:rsidRPr="00D30176">
        <w:rPr>
          <w:rFonts w:ascii="Times New Roman" w:hAnsi="Times New Roman" w:cs="Times New Roman"/>
          <w:sz w:val="28"/>
          <w:szCs w:val="28"/>
          <w:lang w:val="uk-UA"/>
        </w:rPr>
        <w:t>асткове відшкодування шляхом голосування</w:t>
      </w:r>
      <w:r w:rsidR="00B8650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. У разі рівного поділу голосів, вирішальним є голос голови </w:t>
      </w:r>
      <w:r w:rsidR="00AA115D" w:rsidRPr="00D3017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B86509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E3BC77" w14:textId="77777777" w:rsidR="00B86509" w:rsidRPr="00D30176" w:rsidRDefault="00B86509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8293A" w14:textId="02A590F5" w:rsidR="00B86509" w:rsidRPr="00D30176" w:rsidRDefault="00607A81" w:rsidP="00F86F41">
      <w:pPr>
        <w:tabs>
          <w:tab w:val="left" w:pos="7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 разі виникнення спірних та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інших питань щодо надання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відшкодування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чи незгоди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користувача</w:t>
      </w:r>
      <w:r w:rsidR="00D30176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з рішенням </w:t>
      </w:r>
      <w:r w:rsidR="00AA115D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</w:t>
      </w:r>
      <w:r w:rsidR="009015C5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омісії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, він має право оскаржити рішення </w:t>
      </w:r>
      <w:r w:rsidR="00AA115D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</w:t>
      </w:r>
      <w:r w:rsidR="009015C5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омісії</w:t>
      </w:r>
      <w:r w:rsidR="00B86509" w:rsidRPr="00D3017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у встановленому чинним законодавством порядку.</w:t>
      </w:r>
    </w:p>
    <w:p w14:paraId="03925696" w14:textId="77777777" w:rsidR="00B86509" w:rsidRPr="00D30176" w:rsidRDefault="00B86509" w:rsidP="00F86F41">
      <w:pPr>
        <w:tabs>
          <w:tab w:val="left" w:pos="7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4207D25" w14:textId="23427A24" w:rsidR="001C2726" w:rsidRPr="00D30176" w:rsidRDefault="00582D51" w:rsidP="00F86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1C2726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Порядок надання </w:t>
      </w:r>
      <w:r w:rsidR="00855CA0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r w:rsidR="00A85573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асткового відшкодування</w:t>
      </w:r>
    </w:p>
    <w:p w14:paraId="6D6D9B7A" w14:textId="77777777" w:rsidR="001C2726" w:rsidRPr="00D30176" w:rsidRDefault="001C2726" w:rsidP="00F86F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1E80CC7" w14:textId="34337AEA" w:rsidR="000A3CB5" w:rsidRPr="00D30176" w:rsidRDefault="000A3CB5" w:rsidP="00F86F41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Операції з бюджетними коштами здійснюються відповідно до Порядку казначейського обслуговування місцевих бюджетів, </w:t>
      </w:r>
      <w:r w:rsidRPr="00D3017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1569/21881.</w:t>
      </w:r>
    </w:p>
    <w:p w14:paraId="3DFB2A8B" w14:textId="39452470" w:rsidR="00A85573" w:rsidRPr="00D30176" w:rsidRDefault="00A85573" w:rsidP="00F86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2. Видатки щодо виплати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відшкодування здійснюються шляхом перерахування коштів на поточні рахунки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, відкриті в установах банків.</w:t>
      </w:r>
      <w:bookmarkStart w:id="2" w:name="n243"/>
      <w:bookmarkStart w:id="3" w:name="n241"/>
      <w:bookmarkStart w:id="4" w:name="n105"/>
      <w:bookmarkStart w:id="5" w:name="n106"/>
      <w:bookmarkStart w:id="6" w:name="n107"/>
      <w:bookmarkStart w:id="7" w:name="n110"/>
      <w:bookmarkEnd w:id="2"/>
      <w:bookmarkEnd w:id="3"/>
      <w:bookmarkEnd w:id="4"/>
      <w:bookmarkEnd w:id="5"/>
      <w:bookmarkEnd w:id="6"/>
      <w:bookmarkEnd w:id="7"/>
    </w:p>
    <w:p w14:paraId="6BB61987" w14:textId="300BB686" w:rsidR="001C2726" w:rsidRPr="00D30176" w:rsidRDefault="001C2726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B9B2C" w14:textId="40FAAD1D" w:rsidR="001C2726" w:rsidRPr="00D30176" w:rsidRDefault="00582D51" w:rsidP="00F86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1C2726" w:rsidRPr="00D3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Контроль та моніторинг за виконанням Порядку</w:t>
      </w:r>
    </w:p>
    <w:p w14:paraId="259CA46D" w14:textId="77777777" w:rsidR="001C2726" w:rsidRPr="00D30176" w:rsidRDefault="001C2726" w:rsidP="00F86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5CC158" w14:textId="6EFEC0F7" w:rsidR="001C2726" w:rsidRPr="00D30176" w:rsidRDefault="001C2726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1. Контроль та моніторинг за реалізацією цього</w:t>
      </w:r>
      <w:r w:rsidRPr="00D301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Порядку здійснює </w:t>
      </w:r>
      <w:r w:rsidR="00B7439A" w:rsidRPr="00D3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 є розробником цього</w:t>
      </w:r>
      <w:r w:rsidRPr="00D30176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Порядку і головним розпорядником коштів, призначених для надання </w:t>
      </w:r>
      <w:r w:rsidR="00B7439A" w:rsidRPr="00D30176">
        <w:rPr>
          <w:rFonts w:ascii="Times New Roman" w:hAnsi="Times New Roman" w:cs="Times New Roman"/>
          <w:sz w:val="28"/>
          <w:szCs w:val="28"/>
          <w:lang w:val="uk-UA"/>
        </w:rPr>
        <w:t>часткового відшкодування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E0688F" w14:textId="77777777" w:rsidR="001F63C7" w:rsidRPr="00D30176" w:rsidRDefault="001F63C7" w:rsidP="00F8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F4380" w14:textId="61062997" w:rsidR="00D06444" w:rsidRPr="00D30176" w:rsidRDefault="000515AD" w:rsidP="00F86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2726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6444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У разі встановлення органами, уповноваженими здійснювати контроль за використанням бюджетних коштів, факту незаконного отримання бюджетних коштів </w:t>
      </w:r>
      <w:r w:rsidR="00D30176" w:rsidRPr="00D3017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 </w:t>
      </w:r>
      <w:r w:rsidR="00D06444" w:rsidRPr="00D30176">
        <w:rPr>
          <w:rFonts w:ascii="Times New Roman" w:hAnsi="Times New Roman" w:cs="Times New Roman"/>
          <w:sz w:val="28"/>
          <w:szCs w:val="28"/>
          <w:lang w:val="uk-UA"/>
        </w:rPr>
        <w:t>протягом місяця повертає їх до обласного бюджету і позбавляється протягом трьох років від дати виявлення такого порушення права на отримання фінансової підтримки.</w:t>
      </w:r>
    </w:p>
    <w:p w14:paraId="1DBBF284" w14:textId="16D9DEF7" w:rsidR="002F4EE1" w:rsidRDefault="002F4EE1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BDCC4" w14:textId="77777777" w:rsidR="0018486A" w:rsidRPr="00D30176" w:rsidRDefault="0018486A" w:rsidP="00F86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82F0D6" w14:textId="77777777" w:rsidR="0018486A" w:rsidRDefault="00B7439A" w:rsidP="00F86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департаменту</w:t>
      </w:r>
      <w:r w:rsidR="000A4ECB"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BD7C11F" w14:textId="77777777" w:rsidR="0018486A" w:rsidRDefault="000A4ECB" w:rsidP="00F86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агропромислового</w:t>
      </w:r>
      <w:r w:rsidR="00184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15881"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розвитку </w:t>
      </w:r>
    </w:p>
    <w:p w14:paraId="37C85086" w14:textId="21E6BC6F" w:rsidR="00415881" w:rsidRPr="00D30176" w:rsidRDefault="00415881" w:rsidP="00F86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Волинської обласної державної </w:t>
      </w:r>
    </w:p>
    <w:p w14:paraId="73D976ED" w14:textId="2D7A21B7" w:rsidR="002F4EE1" w:rsidRPr="00D30176" w:rsidRDefault="00415881" w:rsidP="00F86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адміністрації</w:t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3017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Юрій ЮРЧЕНКО</w:t>
      </w:r>
    </w:p>
    <w:sectPr w:rsidR="002F4EE1" w:rsidRPr="00D30176" w:rsidSect="009B711D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6715" w14:textId="77777777" w:rsidR="00FD5A7B" w:rsidRDefault="00FD5A7B" w:rsidP="00020CF6">
      <w:pPr>
        <w:spacing w:after="0" w:line="240" w:lineRule="auto"/>
      </w:pPr>
      <w:r>
        <w:separator/>
      </w:r>
    </w:p>
  </w:endnote>
  <w:endnote w:type="continuationSeparator" w:id="0">
    <w:p w14:paraId="5EE31E78" w14:textId="77777777" w:rsidR="00FD5A7B" w:rsidRDefault="00FD5A7B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8236" w14:textId="77777777" w:rsidR="00FD5A7B" w:rsidRDefault="00FD5A7B" w:rsidP="00020CF6">
      <w:pPr>
        <w:spacing w:after="0" w:line="240" w:lineRule="auto"/>
      </w:pPr>
      <w:r>
        <w:separator/>
      </w:r>
    </w:p>
  </w:footnote>
  <w:footnote w:type="continuationSeparator" w:id="0">
    <w:p w14:paraId="14F2F410" w14:textId="77777777" w:rsidR="00FD5A7B" w:rsidRDefault="00FD5A7B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05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CDBED3" w14:textId="6C58DB45" w:rsidR="00020CF6" w:rsidRPr="00020CF6" w:rsidRDefault="00020CF6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020CF6">
          <w:rPr>
            <w:rFonts w:ascii="Times New Roman" w:hAnsi="Times New Roman" w:cs="Times New Roman"/>
            <w:sz w:val="24"/>
          </w:rPr>
          <w:fldChar w:fldCharType="begin"/>
        </w:r>
        <w:r w:rsidRPr="00020CF6">
          <w:rPr>
            <w:rFonts w:ascii="Times New Roman" w:hAnsi="Times New Roman" w:cs="Times New Roman"/>
            <w:sz w:val="24"/>
          </w:rPr>
          <w:instrText>PAGE   \* MERGEFORMAT</w:instrText>
        </w:r>
        <w:r w:rsidRPr="00020CF6">
          <w:rPr>
            <w:rFonts w:ascii="Times New Roman" w:hAnsi="Times New Roman" w:cs="Times New Roman"/>
            <w:sz w:val="24"/>
          </w:rPr>
          <w:fldChar w:fldCharType="separate"/>
        </w:r>
        <w:r w:rsidR="00A23879">
          <w:rPr>
            <w:rFonts w:ascii="Times New Roman" w:hAnsi="Times New Roman" w:cs="Times New Roman"/>
            <w:noProof/>
            <w:sz w:val="24"/>
          </w:rPr>
          <w:t>4</w:t>
        </w:r>
        <w:r w:rsidRPr="00020C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81E78A6" w14:textId="77777777" w:rsidR="00020CF6" w:rsidRDefault="00020C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25EF4"/>
    <w:multiLevelType w:val="hybridMultilevel"/>
    <w:tmpl w:val="831AFF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888A712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05B673EA">
      <w:start w:val="5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BD5BDE"/>
    <w:multiLevelType w:val="hybridMultilevel"/>
    <w:tmpl w:val="2328F690"/>
    <w:lvl w:ilvl="0" w:tplc="3D3A29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6295"/>
    <w:multiLevelType w:val="hybridMultilevel"/>
    <w:tmpl w:val="7D022B74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4" w15:restartNumberingAfterBreak="0">
    <w:nsid w:val="407F7C40"/>
    <w:multiLevelType w:val="hybridMultilevel"/>
    <w:tmpl w:val="C81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DC4714"/>
    <w:multiLevelType w:val="hybridMultilevel"/>
    <w:tmpl w:val="1D34B9D4"/>
    <w:lvl w:ilvl="0" w:tplc="9A2891C0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D2A119E"/>
    <w:multiLevelType w:val="hybridMultilevel"/>
    <w:tmpl w:val="21A4E656"/>
    <w:lvl w:ilvl="0" w:tplc="0422000F">
      <w:start w:val="1"/>
      <w:numFmt w:val="decimal"/>
      <w:lvlText w:val="%1."/>
      <w:lvlJc w:val="left"/>
      <w:pPr>
        <w:ind w:left="1356" w:hanging="360"/>
      </w:p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589F1776"/>
    <w:multiLevelType w:val="hybridMultilevel"/>
    <w:tmpl w:val="8F0AF63E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01AC"/>
    <w:multiLevelType w:val="hybridMultilevel"/>
    <w:tmpl w:val="B18E2602"/>
    <w:lvl w:ilvl="0" w:tplc="83AE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856"/>
    <w:multiLevelType w:val="hybridMultilevel"/>
    <w:tmpl w:val="667AB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51F3F"/>
    <w:multiLevelType w:val="hybridMultilevel"/>
    <w:tmpl w:val="C91015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E8E7C57"/>
    <w:multiLevelType w:val="hybridMultilevel"/>
    <w:tmpl w:val="F52EA676"/>
    <w:lvl w:ilvl="0" w:tplc="1A86D5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5537"/>
    <w:multiLevelType w:val="hybridMultilevel"/>
    <w:tmpl w:val="479CBCCA"/>
    <w:lvl w:ilvl="0" w:tplc="CF0EF12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328978">
    <w:abstractNumId w:val="1"/>
  </w:num>
  <w:num w:numId="2" w16cid:durableId="532311049">
    <w:abstractNumId w:val="4"/>
  </w:num>
  <w:num w:numId="3" w16cid:durableId="2025933641">
    <w:abstractNumId w:val="9"/>
  </w:num>
  <w:num w:numId="4" w16cid:durableId="1549024260">
    <w:abstractNumId w:val="0"/>
  </w:num>
  <w:num w:numId="5" w16cid:durableId="587691191">
    <w:abstractNumId w:val="5"/>
  </w:num>
  <w:num w:numId="6" w16cid:durableId="2009211600">
    <w:abstractNumId w:val="3"/>
  </w:num>
  <w:num w:numId="7" w16cid:durableId="570119614">
    <w:abstractNumId w:val="6"/>
  </w:num>
  <w:num w:numId="8" w16cid:durableId="16346797">
    <w:abstractNumId w:val="10"/>
  </w:num>
  <w:num w:numId="9" w16cid:durableId="206065063">
    <w:abstractNumId w:val="8"/>
  </w:num>
  <w:num w:numId="10" w16cid:durableId="1980382312">
    <w:abstractNumId w:val="13"/>
  </w:num>
  <w:num w:numId="11" w16cid:durableId="1045250758">
    <w:abstractNumId w:val="11"/>
  </w:num>
  <w:num w:numId="12" w16cid:durableId="1277102525">
    <w:abstractNumId w:val="2"/>
  </w:num>
  <w:num w:numId="13" w16cid:durableId="1366102181">
    <w:abstractNumId w:val="7"/>
  </w:num>
  <w:num w:numId="14" w16cid:durableId="279651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9F"/>
    <w:rsid w:val="000004F8"/>
    <w:rsid w:val="0001224E"/>
    <w:rsid w:val="00020CF6"/>
    <w:rsid w:val="000515AD"/>
    <w:rsid w:val="0005284A"/>
    <w:rsid w:val="00076EB9"/>
    <w:rsid w:val="00084BEA"/>
    <w:rsid w:val="000A3CB5"/>
    <w:rsid w:val="000A4ECB"/>
    <w:rsid w:val="000B16A5"/>
    <w:rsid w:val="000B2639"/>
    <w:rsid w:val="000D495A"/>
    <w:rsid w:val="00101E4A"/>
    <w:rsid w:val="001047E2"/>
    <w:rsid w:val="00113EDD"/>
    <w:rsid w:val="00114490"/>
    <w:rsid w:val="00125930"/>
    <w:rsid w:val="00131C62"/>
    <w:rsid w:val="00140D4D"/>
    <w:rsid w:val="00142639"/>
    <w:rsid w:val="00160C9D"/>
    <w:rsid w:val="00165CC7"/>
    <w:rsid w:val="00167CDF"/>
    <w:rsid w:val="001771AF"/>
    <w:rsid w:val="0018486A"/>
    <w:rsid w:val="0019143F"/>
    <w:rsid w:val="001930EC"/>
    <w:rsid w:val="001940EC"/>
    <w:rsid w:val="00195779"/>
    <w:rsid w:val="00197944"/>
    <w:rsid w:val="001A475C"/>
    <w:rsid w:val="001A6F85"/>
    <w:rsid w:val="001B7EA4"/>
    <w:rsid w:val="001C212E"/>
    <w:rsid w:val="001C2726"/>
    <w:rsid w:val="001C3CE6"/>
    <w:rsid w:val="001D01A5"/>
    <w:rsid w:val="001F5597"/>
    <w:rsid w:val="001F63C7"/>
    <w:rsid w:val="0021126E"/>
    <w:rsid w:val="00223D94"/>
    <w:rsid w:val="00243E22"/>
    <w:rsid w:val="002452E2"/>
    <w:rsid w:val="00251327"/>
    <w:rsid w:val="0026310A"/>
    <w:rsid w:val="00271E2A"/>
    <w:rsid w:val="002759E6"/>
    <w:rsid w:val="00291E04"/>
    <w:rsid w:val="00292E4A"/>
    <w:rsid w:val="002A020E"/>
    <w:rsid w:val="002D070C"/>
    <w:rsid w:val="002F3491"/>
    <w:rsid w:val="002F4EE1"/>
    <w:rsid w:val="0033567A"/>
    <w:rsid w:val="00355C86"/>
    <w:rsid w:val="00364466"/>
    <w:rsid w:val="00373DBC"/>
    <w:rsid w:val="003772E1"/>
    <w:rsid w:val="00393FE4"/>
    <w:rsid w:val="003B4A0D"/>
    <w:rsid w:val="003C41CE"/>
    <w:rsid w:val="003D48D1"/>
    <w:rsid w:val="00415881"/>
    <w:rsid w:val="00416A45"/>
    <w:rsid w:val="00417481"/>
    <w:rsid w:val="00423BC9"/>
    <w:rsid w:val="00427D48"/>
    <w:rsid w:val="004347C7"/>
    <w:rsid w:val="00436ABF"/>
    <w:rsid w:val="00443D27"/>
    <w:rsid w:val="00451BC1"/>
    <w:rsid w:val="0045366E"/>
    <w:rsid w:val="00453CC2"/>
    <w:rsid w:val="00466E6D"/>
    <w:rsid w:val="004749C4"/>
    <w:rsid w:val="00487CF6"/>
    <w:rsid w:val="004B2BFF"/>
    <w:rsid w:val="004C6D55"/>
    <w:rsid w:val="004C6DF6"/>
    <w:rsid w:val="004D4366"/>
    <w:rsid w:val="004E7386"/>
    <w:rsid w:val="004F5115"/>
    <w:rsid w:val="0052440D"/>
    <w:rsid w:val="005467FA"/>
    <w:rsid w:val="00554344"/>
    <w:rsid w:val="005650C6"/>
    <w:rsid w:val="00565D65"/>
    <w:rsid w:val="00571CB6"/>
    <w:rsid w:val="00582D51"/>
    <w:rsid w:val="0058593C"/>
    <w:rsid w:val="0059320A"/>
    <w:rsid w:val="005A4F0D"/>
    <w:rsid w:val="005A5612"/>
    <w:rsid w:val="005F0837"/>
    <w:rsid w:val="006069EC"/>
    <w:rsid w:val="00607A81"/>
    <w:rsid w:val="00645421"/>
    <w:rsid w:val="006455F8"/>
    <w:rsid w:val="006A11E0"/>
    <w:rsid w:val="006B7C5B"/>
    <w:rsid w:val="006C0C93"/>
    <w:rsid w:val="006F0C1C"/>
    <w:rsid w:val="00720DCE"/>
    <w:rsid w:val="007477E2"/>
    <w:rsid w:val="00750389"/>
    <w:rsid w:val="00762BC9"/>
    <w:rsid w:val="0076539A"/>
    <w:rsid w:val="00780F96"/>
    <w:rsid w:val="0078586B"/>
    <w:rsid w:val="00787E09"/>
    <w:rsid w:val="007929A3"/>
    <w:rsid w:val="007945B4"/>
    <w:rsid w:val="007D1496"/>
    <w:rsid w:val="007D6939"/>
    <w:rsid w:val="007E4384"/>
    <w:rsid w:val="007F2BDE"/>
    <w:rsid w:val="00800A29"/>
    <w:rsid w:val="00806535"/>
    <w:rsid w:val="00806B75"/>
    <w:rsid w:val="00807451"/>
    <w:rsid w:val="00813231"/>
    <w:rsid w:val="00825236"/>
    <w:rsid w:val="008328F2"/>
    <w:rsid w:val="00837FB6"/>
    <w:rsid w:val="00847232"/>
    <w:rsid w:val="00855CA0"/>
    <w:rsid w:val="0087194A"/>
    <w:rsid w:val="008778E9"/>
    <w:rsid w:val="00890FD2"/>
    <w:rsid w:val="0089631C"/>
    <w:rsid w:val="008A0777"/>
    <w:rsid w:val="008A4107"/>
    <w:rsid w:val="008B4106"/>
    <w:rsid w:val="008D2FF1"/>
    <w:rsid w:val="008D5059"/>
    <w:rsid w:val="008F08E1"/>
    <w:rsid w:val="008F2211"/>
    <w:rsid w:val="009015C5"/>
    <w:rsid w:val="0090490C"/>
    <w:rsid w:val="009071CB"/>
    <w:rsid w:val="009157C2"/>
    <w:rsid w:val="00935AB9"/>
    <w:rsid w:val="00944CC4"/>
    <w:rsid w:val="00951BD2"/>
    <w:rsid w:val="009569F9"/>
    <w:rsid w:val="009600A1"/>
    <w:rsid w:val="00971215"/>
    <w:rsid w:val="009728F1"/>
    <w:rsid w:val="00973975"/>
    <w:rsid w:val="009A0B2E"/>
    <w:rsid w:val="009B711D"/>
    <w:rsid w:val="009E55A6"/>
    <w:rsid w:val="00A026BD"/>
    <w:rsid w:val="00A06333"/>
    <w:rsid w:val="00A06782"/>
    <w:rsid w:val="00A22C93"/>
    <w:rsid w:val="00A23879"/>
    <w:rsid w:val="00A3279A"/>
    <w:rsid w:val="00A53B7D"/>
    <w:rsid w:val="00A62444"/>
    <w:rsid w:val="00A74003"/>
    <w:rsid w:val="00A85573"/>
    <w:rsid w:val="00A91526"/>
    <w:rsid w:val="00AA115D"/>
    <w:rsid w:val="00AA148B"/>
    <w:rsid w:val="00AB1821"/>
    <w:rsid w:val="00AB2397"/>
    <w:rsid w:val="00AD3B1F"/>
    <w:rsid w:val="00AF2CE9"/>
    <w:rsid w:val="00AF5BF6"/>
    <w:rsid w:val="00B01034"/>
    <w:rsid w:val="00B34465"/>
    <w:rsid w:val="00B6576B"/>
    <w:rsid w:val="00B7439A"/>
    <w:rsid w:val="00B81740"/>
    <w:rsid w:val="00B86509"/>
    <w:rsid w:val="00B940F4"/>
    <w:rsid w:val="00B977F5"/>
    <w:rsid w:val="00BA68AC"/>
    <w:rsid w:val="00BC348D"/>
    <w:rsid w:val="00BC5AC0"/>
    <w:rsid w:val="00BC7B4A"/>
    <w:rsid w:val="00BF23C3"/>
    <w:rsid w:val="00BF3387"/>
    <w:rsid w:val="00BF4A56"/>
    <w:rsid w:val="00C2169F"/>
    <w:rsid w:val="00C46D17"/>
    <w:rsid w:val="00C56303"/>
    <w:rsid w:val="00C77760"/>
    <w:rsid w:val="00C87DF9"/>
    <w:rsid w:val="00CA3577"/>
    <w:rsid w:val="00CA5ED7"/>
    <w:rsid w:val="00CC158C"/>
    <w:rsid w:val="00CE04CD"/>
    <w:rsid w:val="00CF2E1A"/>
    <w:rsid w:val="00D06444"/>
    <w:rsid w:val="00D264C6"/>
    <w:rsid w:val="00D2711A"/>
    <w:rsid w:val="00D30176"/>
    <w:rsid w:val="00D30EB0"/>
    <w:rsid w:val="00D35AF2"/>
    <w:rsid w:val="00D43B08"/>
    <w:rsid w:val="00D457EE"/>
    <w:rsid w:val="00DB46A0"/>
    <w:rsid w:val="00DB6521"/>
    <w:rsid w:val="00DC495B"/>
    <w:rsid w:val="00DF0C71"/>
    <w:rsid w:val="00E14614"/>
    <w:rsid w:val="00E212C0"/>
    <w:rsid w:val="00E22CF3"/>
    <w:rsid w:val="00E23EBA"/>
    <w:rsid w:val="00E269B8"/>
    <w:rsid w:val="00E33227"/>
    <w:rsid w:val="00E62EB5"/>
    <w:rsid w:val="00E71F12"/>
    <w:rsid w:val="00E80452"/>
    <w:rsid w:val="00E84BD7"/>
    <w:rsid w:val="00EC5BF8"/>
    <w:rsid w:val="00ED50ED"/>
    <w:rsid w:val="00EF65DC"/>
    <w:rsid w:val="00F13208"/>
    <w:rsid w:val="00F23E48"/>
    <w:rsid w:val="00F55119"/>
    <w:rsid w:val="00F5732D"/>
    <w:rsid w:val="00F57F7F"/>
    <w:rsid w:val="00F631CD"/>
    <w:rsid w:val="00F71591"/>
    <w:rsid w:val="00F75BC4"/>
    <w:rsid w:val="00F80DA3"/>
    <w:rsid w:val="00F851FF"/>
    <w:rsid w:val="00F86F41"/>
    <w:rsid w:val="00F9372F"/>
    <w:rsid w:val="00FA0E44"/>
    <w:rsid w:val="00FA2EFD"/>
    <w:rsid w:val="00FA3729"/>
    <w:rsid w:val="00FB77C1"/>
    <w:rsid w:val="00FD5A7B"/>
    <w:rsid w:val="00FD5E9E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A6C8"/>
  <w15:docId w15:val="{B8F384F6-140B-44AD-9559-ACBEC86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99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  <w:style w:type="paragraph" w:styleId="ae">
    <w:name w:val="Normal (Web)"/>
    <w:basedOn w:val="a"/>
    <w:uiPriority w:val="99"/>
    <w:unhideWhenUsed/>
    <w:rsid w:val="005467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B86509"/>
  </w:style>
  <w:style w:type="character" w:customStyle="1" w:styleId="rvts9">
    <w:name w:val="rvts9"/>
    <w:rsid w:val="001C2726"/>
  </w:style>
  <w:style w:type="character" w:styleId="af">
    <w:name w:val="Strong"/>
    <w:basedOn w:val="a0"/>
    <w:uiPriority w:val="22"/>
    <w:qFormat/>
    <w:rsid w:val="00E2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5666</Words>
  <Characters>3230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Olena Fomenko</cp:lastModifiedBy>
  <cp:revision>29</cp:revision>
  <cp:lastPrinted>2024-07-01T11:54:00Z</cp:lastPrinted>
  <dcterms:created xsi:type="dcterms:W3CDTF">2023-02-21T07:57:00Z</dcterms:created>
  <dcterms:modified xsi:type="dcterms:W3CDTF">2024-07-02T07:52:00Z</dcterms:modified>
</cp:coreProperties>
</file>